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Cs/>
          <w:sz w:val="32"/>
          <w:szCs w:val="32"/>
        </w:rPr>
      </w:pPr>
      <w:r>
        <w:rPr>
          <w:b/>
          <w:bCs/>
          <w:sz w:val="32"/>
          <w:szCs w:val="32"/>
        </w:rPr>
        <w:t>Rowland Bainbridge</w:t>
      </w:r>
    </w:p>
    <w:p>
      <w:pPr>
        <w:pStyle w:val="Normal"/>
        <w:rPr>
          <w:b/>
          <w:bCs/>
        </w:rPr>
      </w:pPr>
      <w:r>
        <w:rPr>
          <w:b/>
          <w:bCs/>
        </w:rPr>
        <w:t>Linux / Unix Systems Administrator Contractor</w:t>
      </w:r>
    </w:p>
    <w:p>
      <w:pPr>
        <w:pStyle w:val="Normal"/>
        <w:rPr/>
      </w:pPr>
      <w:r>
        <w:rPr/>
        <mc:AlternateContent>
          <mc:Choice Requires="wps">
            <w:drawing>
              <wp:inline distT="0" distB="0" distL="0" distR="0">
                <wp:extent cx="5731510" cy="19050"/>
                <wp:effectExtent l="0" t="0" r="0" b="0"/>
                <wp:docPr id="1" name="Shape1"/>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Contact Information</w:t>
      </w:r>
    </w:p>
    <w:p>
      <w:pPr>
        <w:pStyle w:val="Normal"/>
        <w:rPr/>
      </w:pPr>
      <w:r>
        <w:rPr>
          <w:b/>
          <w:bCs/>
        </w:rPr>
        <w:t>Location:</w:t>
      </w:r>
      <w:r>
        <w:rPr/>
        <w:t xml:space="preserve"> Cheshire, Northwest England</w:t>
        <w:br/>
      </w:r>
      <w:r>
        <w:rPr>
          <w:b/>
          <w:bCs/>
        </w:rPr>
        <w:t>Working Arrangement:</w:t>
      </w:r>
      <w:r>
        <w:rPr/>
        <w:t xml:space="preserve"> Currently WFH</w:t>
        <w:br/>
      </w:r>
      <w:r>
        <w:rPr>
          <w:b/>
          <w:bCs/>
        </w:rPr>
        <w:t>Mobile:</w:t>
      </w:r>
      <w:r>
        <w:rPr/>
        <w:t xml:space="preserve"> +44 7745 340135</w:t>
        <w:br/>
      </w:r>
      <w:r>
        <w:rPr>
          <w:b/>
          <w:bCs/>
        </w:rPr>
        <w:t>Email:</w:t>
      </w:r>
      <w:r>
        <w:rPr/>
        <w:t xml:space="preserve"> rowland.bainbridge@gmail.com</w:t>
        <w:br/>
      </w:r>
      <w:r>
        <w:rPr>
          <w:b/>
          <w:bCs/>
        </w:rPr>
        <w:t>Website:</w:t>
      </w:r>
      <w:r>
        <w:rPr/>
        <w:t xml:space="preserve"> rowly.eu</w:t>
        <w:br/>
      </w:r>
      <w:r>
        <w:rPr>
          <w:b/>
          <w:bCs/>
        </w:rPr>
        <w:t>LinkedIn:</w:t>
      </w:r>
      <w:r>
        <w:rPr/>
        <w:t xml:space="preserve"> </w:t>
      </w:r>
      <w:hyperlink r:id="rId2">
        <w:r>
          <w:rPr>
            <w:rStyle w:val="Hyperlink"/>
            <w:b/>
            <w:bCs/>
          </w:rPr>
          <w:t>linkedin.com/in/rowland-bainbridge-mbcs-9022905</w:t>
        </w:r>
      </w:hyperlink>
    </w:p>
    <w:p>
      <w:pPr>
        <w:pStyle w:val="Normal"/>
        <w:rPr/>
      </w:pPr>
      <w:r>
        <w:rPr>
          <w:b/>
          <w:bCs/>
        </w:rPr>
        <w:t>Citizenship:</w:t>
      </w:r>
      <w:r>
        <w:rPr/>
        <w:t xml:space="preserve"> Dual British &amp; Irish (EU) Citizenship</w:t>
      </w:r>
    </w:p>
    <w:p>
      <w:pPr>
        <w:pStyle w:val="Normal"/>
        <w:rPr/>
      </w:pPr>
      <w:r>
        <w:rPr/>
        <mc:AlternateContent>
          <mc:Choice Requires="wps">
            <w:drawing>
              <wp:inline distT="0" distB="0" distL="0" distR="0">
                <wp:extent cx="5731510" cy="19050"/>
                <wp:effectExtent l="0" t="0" r="0" b="0"/>
                <wp:docPr id="2" name="Shape2"/>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Professional Overview</w:t>
      </w:r>
    </w:p>
    <w:p>
      <w:pPr>
        <w:pStyle w:val="Normal"/>
        <w:rPr/>
      </w:pPr>
      <w:r>
        <w:rPr/>
        <w:t>Self-motivated IT professional with extensive experience across heterogeneous Unix and Linux environments.</w:t>
      </w:r>
    </w:p>
    <w:p>
      <w:pPr>
        <w:pStyle w:val="Normal"/>
        <w:rPr/>
      </w:pPr>
      <w:r>
        <w:rPr/>
        <w:t>Strong background in UNIX and Linux administration, including End-of-Life system migrations, patching, compliance rollouts, virtualization, and automation. Contracts are frequently extended, with managers commonly commenting:</w:t>
      </w:r>
    </w:p>
    <w:p>
      <w:pPr>
        <w:pStyle w:val="Normal"/>
        <w:rPr/>
      </w:pPr>
      <w:r>
        <w:rPr/>
        <w:t>“</w:t>
      </w:r>
      <w:r>
        <w:rPr/>
        <w:t>We give you stuff to do, and you just get on with it.”</w:t>
      </w:r>
    </w:p>
    <w:p>
      <w:pPr>
        <w:pStyle w:val="Normal"/>
        <w:rPr/>
      </w:pPr>
      <w:r>
        <w:rPr/>
        <w:t>Most engagements have involved BAU second-line support responsibilities, acting as liaison between stakeholders, end users, project teams, offshore teams, helpdesks, and suppliers.</w:t>
      </w:r>
    </w:p>
    <w:p>
      <w:pPr>
        <w:pStyle w:val="Normal"/>
        <w:rPr/>
      </w:pPr>
      <w:r>
        <w:rPr/>
        <w:t>Experienced in asset management, virtualization, infrastructure consolidation, and cost reduction initiatives.</w:t>
      </w:r>
    </w:p>
    <w:p>
      <w:pPr>
        <w:pStyle w:val="Normal"/>
        <w:rPr/>
      </w:pPr>
      <w:r>
        <w:rPr/>
        <mc:AlternateContent>
          <mc:Choice Requires="wps">
            <w:drawing>
              <wp:inline distT="0" distB="0" distL="0" distR="0">
                <wp:extent cx="5731510" cy="19050"/>
                <wp:effectExtent l="0" t="0" r="0" b="0"/>
                <wp:docPr id="3" name="Shape3"/>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Technical Skills</w:t>
      </w:r>
    </w:p>
    <w:tbl>
      <w:tblPr>
        <w:tblW w:w="4579" w:type="dxa"/>
        <w:jc w:val="start"/>
        <w:tblInd w:w="0" w:type="dxa"/>
        <w:tblLayout w:type="fixed"/>
        <w:tblCellMar>
          <w:top w:w="15" w:type="dxa"/>
          <w:start w:w="15" w:type="dxa"/>
          <w:bottom w:w="15" w:type="dxa"/>
          <w:end w:w="15" w:type="dxa"/>
        </w:tblCellMar>
        <w:tblLook w:val="04a0" w:noVBand="1" w:noHBand="0" w:lastColumn="0" w:firstColumn="1" w:lastRow="0" w:firstRow="1"/>
      </w:tblPr>
      <w:tblGrid>
        <w:gridCol w:w="2860"/>
        <w:gridCol w:w="641"/>
        <w:gridCol w:w="1078"/>
      </w:tblGrid>
      <w:tr>
        <w:trPr>
          <w:tblHeader w:val="true"/>
        </w:trPr>
        <w:tc>
          <w:tcPr>
            <w:tcW w:w="2860" w:type="dxa"/>
            <w:tcBorders/>
            <w:vAlign w:val="center"/>
          </w:tcPr>
          <w:p>
            <w:pPr>
              <w:pStyle w:val="Normal"/>
              <w:spacing w:before="0" w:after="160"/>
              <w:rPr>
                <w:b/>
                <w:bCs/>
              </w:rPr>
            </w:pPr>
            <w:r>
              <w:rPr>
                <w:b/>
                <w:bCs/>
              </w:rPr>
              <w:t>Skill</w:t>
            </w:r>
          </w:p>
        </w:tc>
        <w:tc>
          <w:tcPr>
            <w:tcW w:w="641" w:type="dxa"/>
            <w:tcBorders/>
            <w:vAlign w:val="center"/>
          </w:tcPr>
          <w:p>
            <w:pPr>
              <w:pStyle w:val="Normal"/>
              <w:spacing w:before="0" w:after="160"/>
              <w:rPr>
                <w:b/>
                <w:bCs/>
              </w:rPr>
            </w:pPr>
            <w:r>
              <w:rPr>
                <w:b/>
                <w:bCs/>
              </w:rPr>
              <w:t>Level</w:t>
            </w:r>
          </w:p>
        </w:tc>
        <w:tc>
          <w:tcPr>
            <w:tcW w:w="1078" w:type="dxa"/>
            <w:tcBorders/>
            <w:vAlign w:val="center"/>
          </w:tcPr>
          <w:p>
            <w:pPr>
              <w:pStyle w:val="Normal"/>
              <w:spacing w:before="0" w:after="160"/>
              <w:rPr>
                <w:b/>
                <w:bCs/>
              </w:rPr>
            </w:pPr>
            <w:r>
              <w:rPr>
                <w:b/>
                <w:bCs/>
              </w:rPr>
              <w:t>Experience</w:t>
            </w:r>
          </w:p>
        </w:tc>
      </w:tr>
      <w:tr>
        <w:trPr/>
        <w:tc>
          <w:tcPr>
            <w:tcW w:w="2860" w:type="dxa"/>
            <w:tcBorders/>
            <w:vAlign w:val="center"/>
          </w:tcPr>
          <w:p>
            <w:pPr>
              <w:pStyle w:val="Normal"/>
              <w:widowControl/>
              <w:bidi w:val="0"/>
              <w:spacing w:lineRule="auto" w:line="259" w:before="0" w:after="160"/>
              <w:jc w:val="start"/>
              <w:rPr/>
            </w:pPr>
            <w:r>
              <w:rPr/>
              <w:t>Linux (RHEL / Debian / Ubuntu)</w:t>
            </w:r>
          </w:p>
        </w:tc>
        <w:tc>
          <w:tcPr>
            <w:tcW w:w="641" w:type="dxa"/>
            <w:tcBorders/>
            <w:vAlign w:val="center"/>
          </w:tcPr>
          <w:p>
            <w:pPr>
              <w:pStyle w:val="Normal"/>
              <w:widowControl/>
              <w:bidi w:val="0"/>
              <w:spacing w:lineRule="auto" w:line="259" w:before="0" w:after="160"/>
              <w:jc w:val="start"/>
              <w:rPr/>
            </w:pPr>
            <w:r>
              <w:rPr/>
              <w:t>Expert</w:t>
            </w:r>
          </w:p>
        </w:tc>
        <w:tc>
          <w:tcPr>
            <w:tcW w:w="1078" w:type="dxa"/>
            <w:tcBorders/>
            <w:vAlign w:val="center"/>
          </w:tcPr>
          <w:p>
            <w:pPr>
              <w:pStyle w:val="Normal"/>
              <w:widowControl/>
              <w:bidi w:val="0"/>
              <w:spacing w:lineRule="auto" w:line="259" w:before="0" w:after="160"/>
              <w:jc w:val="start"/>
              <w:rPr/>
            </w:pPr>
            <w:r>
              <w:rPr/>
              <w:t>10 Years</w:t>
            </w:r>
          </w:p>
        </w:tc>
      </w:tr>
      <w:tr>
        <w:trPr/>
        <w:tc>
          <w:tcPr>
            <w:tcW w:w="2860" w:type="dxa"/>
            <w:tcBorders/>
            <w:vAlign w:val="center"/>
          </w:tcPr>
          <w:p>
            <w:pPr>
              <w:pStyle w:val="Normal"/>
              <w:widowControl/>
              <w:bidi w:val="0"/>
              <w:spacing w:lineRule="auto" w:line="259" w:before="0" w:after="160"/>
              <w:jc w:val="start"/>
              <w:rPr/>
            </w:pPr>
            <w:r>
              <w:rPr/>
              <w:t>Solaris 2.5 – 11 / UNIX</w:t>
            </w:r>
          </w:p>
        </w:tc>
        <w:tc>
          <w:tcPr>
            <w:tcW w:w="641" w:type="dxa"/>
            <w:tcBorders/>
            <w:vAlign w:val="center"/>
          </w:tcPr>
          <w:p>
            <w:pPr>
              <w:pStyle w:val="Normal"/>
              <w:widowControl/>
              <w:bidi w:val="0"/>
              <w:spacing w:lineRule="auto" w:line="259" w:before="0" w:after="160"/>
              <w:jc w:val="start"/>
              <w:rPr/>
            </w:pPr>
            <w:r>
              <w:rPr/>
              <w:t>Expert</w:t>
            </w:r>
          </w:p>
        </w:tc>
        <w:tc>
          <w:tcPr>
            <w:tcW w:w="1078" w:type="dxa"/>
            <w:tcBorders/>
            <w:vAlign w:val="center"/>
          </w:tcPr>
          <w:p>
            <w:pPr>
              <w:pStyle w:val="Normal"/>
              <w:widowControl/>
              <w:bidi w:val="0"/>
              <w:spacing w:lineRule="auto" w:line="259" w:before="0" w:after="160"/>
              <w:jc w:val="start"/>
              <w:rPr/>
            </w:pPr>
            <w:r>
              <w:rPr/>
              <w:t>20 Years</w:t>
            </w:r>
          </w:p>
        </w:tc>
      </w:tr>
      <w:tr>
        <w:trPr/>
        <w:tc>
          <w:tcPr>
            <w:tcW w:w="2860" w:type="dxa"/>
            <w:tcBorders/>
            <w:vAlign w:val="center"/>
          </w:tcPr>
          <w:p>
            <w:pPr>
              <w:pStyle w:val="Normal"/>
              <w:widowControl/>
              <w:bidi w:val="0"/>
              <w:spacing w:lineRule="auto" w:line="259" w:before="0" w:after="160"/>
              <w:jc w:val="start"/>
              <w:rPr/>
            </w:pPr>
            <w:r>
              <w:rPr/>
              <w:t>Solaris Virtualisation</w:t>
            </w:r>
          </w:p>
        </w:tc>
        <w:tc>
          <w:tcPr>
            <w:tcW w:w="641" w:type="dxa"/>
            <w:tcBorders/>
            <w:vAlign w:val="center"/>
          </w:tcPr>
          <w:p>
            <w:pPr>
              <w:pStyle w:val="Normal"/>
              <w:widowControl/>
              <w:bidi w:val="0"/>
              <w:spacing w:lineRule="auto" w:line="259" w:before="0" w:after="160"/>
              <w:jc w:val="start"/>
              <w:rPr/>
            </w:pPr>
            <w:r>
              <w:rPr/>
              <w:t>Expert</w:t>
            </w:r>
          </w:p>
        </w:tc>
        <w:tc>
          <w:tcPr>
            <w:tcW w:w="1078" w:type="dxa"/>
            <w:tcBorders/>
            <w:vAlign w:val="center"/>
          </w:tcPr>
          <w:p>
            <w:pPr>
              <w:pStyle w:val="Normal"/>
              <w:widowControl/>
              <w:bidi w:val="0"/>
              <w:spacing w:lineRule="auto" w:line="259" w:before="0" w:after="160"/>
              <w:jc w:val="start"/>
              <w:rPr/>
            </w:pPr>
            <w:r>
              <w:rPr/>
              <w:t>8 Years</w:t>
            </w:r>
          </w:p>
        </w:tc>
      </w:tr>
      <w:tr>
        <w:trPr/>
        <w:tc>
          <w:tcPr>
            <w:tcW w:w="2860" w:type="dxa"/>
            <w:tcBorders/>
            <w:vAlign w:val="center"/>
          </w:tcPr>
          <w:p>
            <w:pPr>
              <w:pStyle w:val="Normal"/>
              <w:widowControl/>
              <w:bidi w:val="0"/>
              <w:spacing w:lineRule="auto" w:line="259" w:before="0" w:after="160"/>
              <w:jc w:val="start"/>
              <w:rPr/>
            </w:pPr>
            <w:r>
              <w:rPr/>
              <w:t>Shell &amp; Perl Scripting</w:t>
            </w:r>
          </w:p>
        </w:tc>
        <w:tc>
          <w:tcPr>
            <w:tcW w:w="641" w:type="dxa"/>
            <w:tcBorders/>
            <w:vAlign w:val="center"/>
          </w:tcPr>
          <w:p>
            <w:pPr>
              <w:pStyle w:val="Normal"/>
              <w:widowControl/>
              <w:bidi w:val="0"/>
              <w:spacing w:lineRule="auto" w:line="259" w:before="0" w:after="160"/>
              <w:jc w:val="start"/>
              <w:rPr/>
            </w:pPr>
            <w:r>
              <w:rPr/>
              <w:t>Expert</w:t>
            </w:r>
          </w:p>
        </w:tc>
        <w:tc>
          <w:tcPr>
            <w:tcW w:w="1078" w:type="dxa"/>
            <w:tcBorders/>
            <w:vAlign w:val="center"/>
          </w:tcPr>
          <w:p>
            <w:pPr>
              <w:pStyle w:val="Normal"/>
              <w:widowControl/>
              <w:bidi w:val="0"/>
              <w:spacing w:lineRule="auto" w:line="259" w:before="0" w:after="160"/>
              <w:jc w:val="start"/>
              <w:rPr/>
            </w:pPr>
            <w:r>
              <w:rPr/>
              <w:t>3 Years</w:t>
            </w:r>
          </w:p>
        </w:tc>
      </w:tr>
      <w:tr>
        <w:trPr/>
        <w:tc>
          <w:tcPr>
            <w:tcW w:w="2860" w:type="dxa"/>
            <w:tcBorders/>
            <w:vAlign w:val="center"/>
          </w:tcPr>
          <w:p>
            <w:pPr>
              <w:pStyle w:val="Normal"/>
              <w:widowControl/>
              <w:bidi w:val="0"/>
              <w:spacing w:lineRule="auto" w:line="259" w:before="0" w:after="160"/>
              <w:jc w:val="start"/>
              <w:rPr/>
            </w:pPr>
            <w:r>
              <w:rPr/>
              <w:t>Networking</w:t>
            </w:r>
          </w:p>
        </w:tc>
        <w:tc>
          <w:tcPr>
            <w:tcW w:w="641" w:type="dxa"/>
            <w:tcBorders/>
            <w:vAlign w:val="center"/>
          </w:tcPr>
          <w:p>
            <w:pPr>
              <w:pStyle w:val="Normal"/>
              <w:widowControl/>
              <w:bidi w:val="0"/>
              <w:spacing w:lineRule="auto" w:line="259" w:before="0" w:after="160"/>
              <w:jc w:val="start"/>
              <w:rPr/>
            </w:pPr>
            <w:r>
              <w:rPr/>
              <w:t>High</w:t>
            </w:r>
          </w:p>
        </w:tc>
        <w:tc>
          <w:tcPr>
            <w:tcW w:w="1078" w:type="dxa"/>
            <w:tcBorders/>
            <w:vAlign w:val="center"/>
          </w:tcPr>
          <w:p>
            <w:pPr>
              <w:pStyle w:val="Normal"/>
              <w:widowControl/>
              <w:bidi w:val="0"/>
              <w:spacing w:lineRule="auto" w:line="259" w:before="0" w:after="160"/>
              <w:jc w:val="start"/>
              <w:rPr/>
            </w:pPr>
            <w:r>
              <w:rPr/>
              <w:t>3 Years</w:t>
            </w:r>
          </w:p>
        </w:tc>
      </w:tr>
      <w:tr>
        <w:trPr/>
        <w:tc>
          <w:tcPr>
            <w:tcW w:w="2860" w:type="dxa"/>
            <w:tcBorders/>
            <w:vAlign w:val="center"/>
          </w:tcPr>
          <w:p>
            <w:pPr>
              <w:pStyle w:val="Normal"/>
              <w:widowControl/>
              <w:bidi w:val="0"/>
              <w:spacing w:lineRule="auto" w:line="259" w:before="0" w:after="160"/>
              <w:jc w:val="start"/>
              <w:rPr/>
            </w:pPr>
            <w:r>
              <w:rPr/>
              <w:t>Firewalls</w:t>
            </w:r>
          </w:p>
        </w:tc>
        <w:tc>
          <w:tcPr>
            <w:tcW w:w="641" w:type="dxa"/>
            <w:tcBorders/>
            <w:vAlign w:val="center"/>
          </w:tcPr>
          <w:p>
            <w:pPr>
              <w:pStyle w:val="Normal"/>
              <w:widowControl/>
              <w:bidi w:val="0"/>
              <w:spacing w:lineRule="auto" w:line="259" w:before="0" w:after="160"/>
              <w:jc w:val="start"/>
              <w:rPr/>
            </w:pPr>
            <w:r>
              <w:rPr/>
              <w:t>Good</w:t>
            </w:r>
          </w:p>
        </w:tc>
        <w:tc>
          <w:tcPr>
            <w:tcW w:w="1078" w:type="dxa"/>
            <w:tcBorders/>
            <w:vAlign w:val="center"/>
          </w:tcPr>
          <w:p>
            <w:pPr>
              <w:pStyle w:val="Normal"/>
              <w:widowControl/>
              <w:bidi w:val="0"/>
              <w:spacing w:lineRule="auto" w:line="259" w:before="0" w:after="160"/>
              <w:jc w:val="start"/>
              <w:rPr/>
            </w:pPr>
            <w:r>
              <w:rPr/>
              <w:t>2 Years</w:t>
            </w:r>
          </w:p>
        </w:tc>
      </w:tr>
    </w:tbl>
    <w:p>
      <w:pPr>
        <w:pStyle w:val="Normal"/>
        <w:rPr/>
      </w:pPr>
      <w:r>
        <w:rPr/>
        <mc:AlternateContent>
          <mc:Choice Requires="wps">
            <w:drawing>
              <wp:inline distT="0" distB="0" distL="0" distR="0">
                <wp:extent cx="635" cy="19050"/>
                <wp:effectExtent l="0" t="0" r="0" b="0"/>
                <wp:docPr id="4" name="Shape4"/>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Training &amp; Certifications</w:t>
      </w:r>
    </w:p>
    <w:tbl>
      <w:tblPr>
        <w:tblW w:w="5697" w:type="dxa"/>
        <w:jc w:val="start"/>
        <w:tblInd w:w="0" w:type="dxa"/>
        <w:tblLayout w:type="fixed"/>
        <w:tblCellMar>
          <w:top w:w="15" w:type="dxa"/>
          <w:start w:w="15" w:type="dxa"/>
          <w:bottom w:w="15" w:type="dxa"/>
          <w:end w:w="15" w:type="dxa"/>
        </w:tblCellMar>
        <w:tblLook w:val="04a0" w:noVBand="1" w:noHBand="0" w:lastColumn="0" w:firstColumn="1" w:lastRow="0" w:firstRow="1"/>
      </w:tblPr>
      <w:tblGrid>
        <w:gridCol w:w="2356"/>
        <w:gridCol w:w="1683"/>
        <w:gridCol w:w="1658"/>
      </w:tblGrid>
      <w:tr>
        <w:trPr>
          <w:tblHeader w:val="true"/>
        </w:trPr>
        <w:tc>
          <w:tcPr>
            <w:tcW w:w="2356" w:type="dxa"/>
            <w:tcBorders/>
            <w:vAlign w:val="center"/>
          </w:tcPr>
          <w:p>
            <w:pPr>
              <w:pStyle w:val="Normal"/>
              <w:spacing w:before="0" w:after="160"/>
              <w:rPr>
                <w:b/>
                <w:bCs/>
              </w:rPr>
            </w:pPr>
            <w:r>
              <w:rPr>
                <w:b/>
                <w:bCs/>
              </w:rPr>
              <w:t>Course</w:t>
            </w:r>
          </w:p>
        </w:tc>
        <w:tc>
          <w:tcPr>
            <w:tcW w:w="1683" w:type="dxa"/>
            <w:tcBorders/>
            <w:vAlign w:val="center"/>
          </w:tcPr>
          <w:p>
            <w:pPr>
              <w:pStyle w:val="Normal"/>
              <w:spacing w:before="0" w:after="160"/>
              <w:rPr>
                <w:b/>
                <w:bCs/>
              </w:rPr>
            </w:pPr>
            <w:r>
              <w:rPr>
                <w:b/>
                <w:bCs/>
              </w:rPr>
              <w:t>Provider</w:t>
            </w:r>
          </w:p>
        </w:tc>
        <w:tc>
          <w:tcPr>
            <w:tcW w:w="1658" w:type="dxa"/>
            <w:tcBorders/>
            <w:vAlign w:val="center"/>
          </w:tcPr>
          <w:p>
            <w:pPr>
              <w:pStyle w:val="Normal"/>
              <w:spacing w:before="0" w:after="160"/>
              <w:rPr>
                <w:b/>
                <w:bCs/>
              </w:rPr>
            </w:pPr>
            <w:r>
              <w:rPr>
                <w:b/>
                <w:bCs/>
              </w:rPr>
              <w:t>Location</w:t>
            </w:r>
          </w:p>
        </w:tc>
      </w:tr>
      <w:tr>
        <w:trPr/>
        <w:tc>
          <w:tcPr>
            <w:tcW w:w="2356" w:type="dxa"/>
            <w:tcBorders/>
            <w:vAlign w:val="center"/>
          </w:tcPr>
          <w:p>
            <w:pPr>
              <w:pStyle w:val="Normal"/>
              <w:widowControl/>
              <w:bidi w:val="0"/>
              <w:spacing w:lineRule="auto" w:line="259" w:before="0" w:after="160"/>
              <w:jc w:val="start"/>
              <w:rPr/>
            </w:pPr>
            <w:r>
              <w:rPr/>
              <w:t>Sun LDOM Virtualisation</w:t>
            </w:r>
          </w:p>
        </w:tc>
        <w:tc>
          <w:tcPr>
            <w:tcW w:w="1683" w:type="dxa"/>
            <w:tcBorders/>
            <w:vAlign w:val="center"/>
          </w:tcPr>
          <w:p>
            <w:pPr>
              <w:pStyle w:val="Normal"/>
              <w:widowControl/>
              <w:bidi w:val="0"/>
              <w:spacing w:lineRule="auto" w:line="259" w:before="0" w:after="160"/>
              <w:jc w:val="start"/>
              <w:rPr/>
            </w:pPr>
            <w:r>
              <w:rPr/>
              <w:t>Sun Microsystems</w:t>
            </w:r>
          </w:p>
        </w:tc>
        <w:tc>
          <w:tcPr>
            <w:tcW w:w="1658" w:type="dxa"/>
            <w:tcBorders/>
            <w:vAlign w:val="center"/>
          </w:tcPr>
          <w:p>
            <w:pPr>
              <w:pStyle w:val="Normal"/>
              <w:widowControl/>
              <w:bidi w:val="0"/>
              <w:spacing w:lineRule="auto" w:line="259" w:before="0" w:after="160"/>
              <w:jc w:val="start"/>
              <w:rPr/>
            </w:pPr>
            <w:r>
              <w:rPr/>
              <w:t>Camberley</w:t>
            </w:r>
          </w:p>
        </w:tc>
      </w:tr>
      <w:tr>
        <w:trPr/>
        <w:tc>
          <w:tcPr>
            <w:tcW w:w="2356" w:type="dxa"/>
            <w:tcBorders/>
            <w:vAlign w:val="center"/>
          </w:tcPr>
          <w:p>
            <w:pPr>
              <w:pStyle w:val="Normal"/>
              <w:widowControl/>
              <w:bidi w:val="0"/>
              <w:spacing w:lineRule="auto" w:line="259" w:before="0" w:after="160"/>
              <w:jc w:val="start"/>
              <w:rPr/>
            </w:pPr>
            <w:r>
              <w:rPr/>
              <w:t>Solaris 10 Certification</w:t>
            </w:r>
          </w:p>
        </w:tc>
        <w:tc>
          <w:tcPr>
            <w:tcW w:w="1683" w:type="dxa"/>
            <w:tcBorders/>
            <w:vAlign w:val="center"/>
          </w:tcPr>
          <w:p>
            <w:pPr>
              <w:pStyle w:val="Normal"/>
              <w:widowControl/>
              <w:bidi w:val="0"/>
              <w:spacing w:lineRule="auto" w:line="259" w:before="0" w:after="160"/>
              <w:jc w:val="start"/>
              <w:rPr/>
            </w:pPr>
            <w:r>
              <w:rPr/>
              <w:t>Sun Microsystems</w:t>
            </w:r>
          </w:p>
        </w:tc>
        <w:tc>
          <w:tcPr>
            <w:tcW w:w="1658" w:type="dxa"/>
            <w:tcBorders/>
            <w:vAlign w:val="center"/>
          </w:tcPr>
          <w:p>
            <w:pPr>
              <w:pStyle w:val="Normal"/>
              <w:widowControl/>
              <w:bidi w:val="0"/>
              <w:spacing w:lineRule="auto" w:line="259" w:before="0" w:after="160"/>
              <w:jc w:val="start"/>
              <w:rPr/>
            </w:pPr>
            <w:r>
              <w:rPr/>
              <w:t>Prometric Testing</w:t>
            </w:r>
          </w:p>
        </w:tc>
      </w:tr>
      <w:tr>
        <w:trPr/>
        <w:tc>
          <w:tcPr>
            <w:tcW w:w="2356" w:type="dxa"/>
            <w:tcBorders/>
            <w:vAlign w:val="center"/>
          </w:tcPr>
          <w:p>
            <w:pPr>
              <w:pStyle w:val="Normal"/>
              <w:widowControl/>
              <w:bidi w:val="0"/>
              <w:spacing w:lineRule="auto" w:line="259" w:before="0" w:after="160"/>
              <w:jc w:val="start"/>
              <w:rPr/>
            </w:pPr>
            <w:r>
              <w:rPr/>
              <w:t>Sun E10K Administration</w:t>
            </w:r>
          </w:p>
        </w:tc>
        <w:tc>
          <w:tcPr>
            <w:tcW w:w="1683" w:type="dxa"/>
            <w:tcBorders/>
            <w:vAlign w:val="center"/>
          </w:tcPr>
          <w:p>
            <w:pPr>
              <w:pStyle w:val="Normal"/>
              <w:widowControl/>
              <w:bidi w:val="0"/>
              <w:spacing w:lineRule="auto" w:line="259" w:before="0" w:after="160"/>
              <w:jc w:val="start"/>
              <w:rPr/>
            </w:pPr>
            <w:r>
              <w:rPr/>
              <w:t>Sun Microsystems</w:t>
            </w:r>
          </w:p>
        </w:tc>
        <w:tc>
          <w:tcPr>
            <w:tcW w:w="1658" w:type="dxa"/>
            <w:tcBorders/>
            <w:vAlign w:val="center"/>
          </w:tcPr>
          <w:p>
            <w:pPr>
              <w:pStyle w:val="Normal"/>
              <w:widowControl/>
              <w:bidi w:val="0"/>
              <w:spacing w:lineRule="auto" w:line="259" w:before="0" w:after="160"/>
              <w:jc w:val="start"/>
              <w:rPr/>
            </w:pPr>
            <w:r>
              <w:rPr/>
              <w:t>Camberley</w:t>
            </w:r>
          </w:p>
        </w:tc>
      </w:tr>
      <w:tr>
        <w:trPr/>
        <w:tc>
          <w:tcPr>
            <w:tcW w:w="2356" w:type="dxa"/>
            <w:tcBorders/>
            <w:vAlign w:val="center"/>
          </w:tcPr>
          <w:p>
            <w:pPr>
              <w:pStyle w:val="Normal"/>
              <w:widowControl/>
              <w:bidi w:val="0"/>
              <w:spacing w:lineRule="auto" w:line="259" w:before="0" w:after="160"/>
              <w:jc w:val="start"/>
              <w:rPr/>
            </w:pPr>
            <w:r>
              <w:rPr/>
              <w:t>Solaris 8 Seminar</w:t>
            </w:r>
          </w:p>
        </w:tc>
        <w:tc>
          <w:tcPr>
            <w:tcW w:w="1683" w:type="dxa"/>
            <w:tcBorders/>
            <w:vAlign w:val="center"/>
          </w:tcPr>
          <w:p>
            <w:pPr>
              <w:pStyle w:val="Normal"/>
              <w:widowControl/>
              <w:bidi w:val="0"/>
              <w:spacing w:lineRule="auto" w:line="259" w:before="0" w:after="160"/>
              <w:jc w:val="start"/>
              <w:rPr/>
            </w:pPr>
            <w:r>
              <w:rPr/>
              <w:t>Sun Microsystems</w:t>
            </w:r>
          </w:p>
        </w:tc>
        <w:tc>
          <w:tcPr>
            <w:tcW w:w="1658" w:type="dxa"/>
            <w:tcBorders/>
            <w:vAlign w:val="center"/>
          </w:tcPr>
          <w:p>
            <w:pPr>
              <w:pStyle w:val="Normal"/>
              <w:widowControl/>
              <w:bidi w:val="0"/>
              <w:spacing w:lineRule="auto" w:line="259" w:before="0" w:after="160"/>
              <w:jc w:val="start"/>
              <w:rPr/>
            </w:pPr>
            <w:r>
              <w:rPr/>
              <w:t>Brussels</w:t>
            </w:r>
          </w:p>
        </w:tc>
      </w:tr>
      <w:tr>
        <w:trPr/>
        <w:tc>
          <w:tcPr>
            <w:tcW w:w="2356" w:type="dxa"/>
            <w:tcBorders/>
            <w:vAlign w:val="center"/>
          </w:tcPr>
          <w:p>
            <w:pPr>
              <w:pStyle w:val="Normal"/>
              <w:widowControl/>
              <w:bidi w:val="0"/>
              <w:spacing w:lineRule="auto" w:line="259" w:before="0" w:after="160"/>
              <w:jc w:val="start"/>
              <w:rPr/>
            </w:pPr>
            <w:r>
              <w:rPr/>
              <w:t>Solaris 2.x Administration</w:t>
            </w:r>
          </w:p>
        </w:tc>
        <w:tc>
          <w:tcPr>
            <w:tcW w:w="1683" w:type="dxa"/>
            <w:tcBorders/>
            <w:vAlign w:val="center"/>
          </w:tcPr>
          <w:p>
            <w:pPr>
              <w:pStyle w:val="Normal"/>
              <w:widowControl/>
              <w:bidi w:val="0"/>
              <w:spacing w:lineRule="auto" w:line="259" w:before="0" w:after="160"/>
              <w:jc w:val="start"/>
              <w:rPr/>
            </w:pPr>
            <w:r>
              <w:rPr/>
              <w:t>Sun Microsystems</w:t>
            </w:r>
          </w:p>
        </w:tc>
        <w:tc>
          <w:tcPr>
            <w:tcW w:w="1658" w:type="dxa"/>
            <w:tcBorders/>
            <w:vAlign w:val="center"/>
          </w:tcPr>
          <w:p>
            <w:pPr>
              <w:pStyle w:val="Normal"/>
              <w:widowControl/>
              <w:bidi w:val="0"/>
              <w:spacing w:lineRule="auto" w:line="259" w:before="0" w:after="160"/>
              <w:jc w:val="start"/>
              <w:rPr/>
            </w:pPr>
            <w:r>
              <w:rPr/>
              <w:t>Sale</w:t>
            </w:r>
          </w:p>
        </w:tc>
      </w:tr>
    </w:tbl>
    <w:p>
      <w:pPr>
        <w:pStyle w:val="Normal"/>
        <w:rPr/>
      </w:pPr>
      <w:r>
        <w:rPr/>
        <mc:AlternateContent>
          <mc:Choice Requires="wps">
            <w:drawing>
              <wp:inline distT="0" distB="0" distL="0" distR="0">
                <wp:extent cx="635" cy="19050"/>
                <wp:effectExtent l="0" t="0" r="0" b="0"/>
                <wp:docPr id="5" name="Shape5"/>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Education</w:t>
      </w:r>
    </w:p>
    <w:tbl>
      <w:tblPr>
        <w:tblW w:w="7537" w:type="dxa"/>
        <w:jc w:val="start"/>
        <w:tblInd w:w="0" w:type="dxa"/>
        <w:tblLayout w:type="fixed"/>
        <w:tblCellMar>
          <w:top w:w="15" w:type="dxa"/>
          <w:start w:w="15" w:type="dxa"/>
          <w:bottom w:w="15" w:type="dxa"/>
          <w:end w:w="15" w:type="dxa"/>
        </w:tblCellMar>
        <w:tblLook w:val="04a0" w:noVBand="1" w:noHBand="0" w:lastColumn="0" w:firstColumn="1" w:lastRow="0" w:firstRow="1"/>
      </w:tblPr>
      <w:tblGrid>
        <w:gridCol w:w="1793"/>
        <w:gridCol w:w="2668"/>
        <w:gridCol w:w="2222"/>
        <w:gridCol w:w="854"/>
      </w:tblGrid>
      <w:tr>
        <w:trPr>
          <w:tblHeader w:val="true"/>
        </w:trPr>
        <w:tc>
          <w:tcPr>
            <w:tcW w:w="1793" w:type="dxa"/>
            <w:tcBorders/>
            <w:vAlign w:val="center"/>
          </w:tcPr>
          <w:p>
            <w:pPr>
              <w:pStyle w:val="Normal"/>
              <w:spacing w:before="0" w:after="160"/>
              <w:rPr>
                <w:b/>
                <w:bCs/>
              </w:rPr>
            </w:pPr>
            <w:r>
              <w:rPr>
                <w:b/>
                <w:bCs/>
              </w:rPr>
              <w:t>Dates</w:t>
            </w:r>
          </w:p>
        </w:tc>
        <w:tc>
          <w:tcPr>
            <w:tcW w:w="2668" w:type="dxa"/>
            <w:tcBorders/>
            <w:vAlign w:val="center"/>
          </w:tcPr>
          <w:p>
            <w:pPr>
              <w:pStyle w:val="Normal"/>
              <w:spacing w:before="0" w:after="160"/>
              <w:rPr>
                <w:b/>
                <w:bCs/>
              </w:rPr>
            </w:pPr>
            <w:r>
              <w:rPr>
                <w:b/>
                <w:bCs/>
              </w:rPr>
              <w:t>Qualification</w:t>
            </w:r>
          </w:p>
        </w:tc>
        <w:tc>
          <w:tcPr>
            <w:tcW w:w="2222" w:type="dxa"/>
            <w:tcBorders/>
            <w:vAlign w:val="center"/>
          </w:tcPr>
          <w:p>
            <w:pPr>
              <w:pStyle w:val="Normal"/>
              <w:spacing w:before="0" w:after="160"/>
              <w:rPr>
                <w:b/>
                <w:bCs/>
              </w:rPr>
            </w:pPr>
            <w:r>
              <w:rPr>
                <w:b/>
                <w:bCs/>
              </w:rPr>
              <w:t>Institution</w:t>
            </w:r>
          </w:p>
        </w:tc>
        <w:tc>
          <w:tcPr>
            <w:tcW w:w="854" w:type="dxa"/>
            <w:tcBorders/>
            <w:vAlign w:val="center"/>
          </w:tcPr>
          <w:p>
            <w:pPr>
              <w:pStyle w:val="Normal"/>
              <w:spacing w:before="0" w:after="160"/>
              <w:rPr>
                <w:b/>
                <w:bCs/>
              </w:rPr>
            </w:pPr>
            <w:r>
              <w:rPr>
                <w:b/>
                <w:bCs/>
              </w:rPr>
              <w:t>Location</w:t>
            </w:r>
          </w:p>
        </w:tc>
      </w:tr>
      <w:tr>
        <w:trPr/>
        <w:tc>
          <w:tcPr>
            <w:tcW w:w="1793" w:type="dxa"/>
            <w:tcBorders/>
            <w:vAlign w:val="center"/>
          </w:tcPr>
          <w:p>
            <w:pPr>
              <w:pStyle w:val="Normal"/>
              <w:widowControl/>
              <w:bidi w:val="0"/>
              <w:spacing w:lineRule="auto" w:line="259" w:before="0" w:after="160"/>
              <w:jc w:val="start"/>
              <w:rPr/>
            </w:pPr>
            <w:r>
              <w:rPr/>
              <w:t>09/1986 – 07/1988</w:t>
            </w:r>
          </w:p>
        </w:tc>
        <w:tc>
          <w:tcPr>
            <w:tcW w:w="2668" w:type="dxa"/>
            <w:tcBorders/>
            <w:vAlign w:val="center"/>
          </w:tcPr>
          <w:p>
            <w:pPr>
              <w:pStyle w:val="Normal"/>
              <w:widowControl/>
              <w:bidi w:val="0"/>
              <w:spacing w:lineRule="auto" w:line="259" w:before="0" w:after="160"/>
              <w:jc w:val="start"/>
              <w:rPr/>
            </w:pPr>
            <w:r>
              <w:rPr/>
              <w:t>HND Information Technology</w:t>
            </w:r>
          </w:p>
        </w:tc>
        <w:tc>
          <w:tcPr>
            <w:tcW w:w="2222" w:type="dxa"/>
            <w:tcBorders/>
            <w:vAlign w:val="center"/>
          </w:tcPr>
          <w:p>
            <w:pPr>
              <w:pStyle w:val="Normal"/>
              <w:widowControl/>
              <w:bidi w:val="0"/>
              <w:spacing w:lineRule="auto" w:line="259" w:before="0" w:after="160"/>
              <w:jc w:val="start"/>
              <w:rPr/>
            </w:pPr>
            <w:r>
              <w:rPr/>
              <w:t>Leeds Polytechnic</w:t>
            </w:r>
          </w:p>
        </w:tc>
        <w:tc>
          <w:tcPr>
            <w:tcW w:w="854" w:type="dxa"/>
            <w:tcBorders/>
            <w:vAlign w:val="center"/>
          </w:tcPr>
          <w:p>
            <w:pPr>
              <w:pStyle w:val="Normal"/>
              <w:widowControl/>
              <w:bidi w:val="0"/>
              <w:spacing w:lineRule="auto" w:line="259" w:before="0" w:after="160"/>
              <w:jc w:val="start"/>
              <w:rPr/>
            </w:pPr>
            <w:r>
              <w:rPr/>
              <w:t>Leeds</w:t>
            </w:r>
          </w:p>
        </w:tc>
      </w:tr>
      <w:tr>
        <w:trPr/>
        <w:tc>
          <w:tcPr>
            <w:tcW w:w="1793" w:type="dxa"/>
            <w:tcBorders/>
            <w:vAlign w:val="center"/>
          </w:tcPr>
          <w:p>
            <w:pPr>
              <w:pStyle w:val="Normal"/>
              <w:widowControl/>
              <w:bidi w:val="0"/>
              <w:spacing w:lineRule="auto" w:line="259" w:before="0" w:after="160"/>
              <w:jc w:val="start"/>
              <w:rPr/>
            </w:pPr>
            <w:r>
              <w:rPr/>
              <w:t>09/1984 – 07/1986</w:t>
            </w:r>
          </w:p>
        </w:tc>
        <w:tc>
          <w:tcPr>
            <w:tcW w:w="2668" w:type="dxa"/>
            <w:tcBorders/>
            <w:vAlign w:val="center"/>
          </w:tcPr>
          <w:p>
            <w:pPr>
              <w:pStyle w:val="Normal"/>
              <w:widowControl/>
              <w:bidi w:val="0"/>
              <w:spacing w:lineRule="auto" w:line="259" w:before="0" w:after="160"/>
              <w:jc w:val="start"/>
              <w:rPr/>
            </w:pPr>
            <w:r>
              <w:rPr/>
              <w:t>A Levels</w:t>
            </w:r>
          </w:p>
        </w:tc>
        <w:tc>
          <w:tcPr>
            <w:tcW w:w="2222" w:type="dxa"/>
            <w:tcBorders/>
            <w:vAlign w:val="center"/>
          </w:tcPr>
          <w:p>
            <w:pPr>
              <w:pStyle w:val="Normal"/>
              <w:widowControl/>
              <w:bidi w:val="0"/>
              <w:spacing w:lineRule="auto" w:line="259" w:before="0" w:after="160"/>
              <w:jc w:val="start"/>
              <w:rPr/>
            </w:pPr>
            <w:r>
              <w:rPr/>
              <w:t>Lawnswood High School</w:t>
            </w:r>
          </w:p>
        </w:tc>
        <w:tc>
          <w:tcPr>
            <w:tcW w:w="854" w:type="dxa"/>
            <w:tcBorders/>
            <w:vAlign w:val="center"/>
          </w:tcPr>
          <w:p>
            <w:pPr>
              <w:pStyle w:val="Normal"/>
              <w:widowControl/>
              <w:bidi w:val="0"/>
              <w:spacing w:lineRule="auto" w:line="259" w:before="0" w:after="160"/>
              <w:jc w:val="start"/>
              <w:rPr/>
            </w:pPr>
            <w:r>
              <w:rPr/>
              <w:t>Leeds</w:t>
            </w:r>
          </w:p>
        </w:tc>
      </w:tr>
    </w:tbl>
    <w:p>
      <w:pPr>
        <w:pStyle w:val="Normal"/>
        <w:rPr/>
      </w:pPr>
      <w:r>
        <w:rPr/>
        <mc:AlternateContent>
          <mc:Choice Requires="wps">
            <w:drawing>
              <wp:inline distT="0" distB="0" distL="0" distR="0">
                <wp:extent cx="635" cy="19050"/>
                <wp:effectExtent l="0" t="0" r="0" b="0"/>
                <wp:docPr id="6" name="Shape6"/>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Languages</w:t>
      </w:r>
    </w:p>
    <w:tbl>
      <w:tblPr>
        <w:tblW w:w="3418" w:type="dxa"/>
        <w:jc w:val="start"/>
        <w:tblInd w:w="0" w:type="dxa"/>
        <w:tblLayout w:type="fixed"/>
        <w:tblCellMar>
          <w:top w:w="15" w:type="dxa"/>
          <w:start w:w="15" w:type="dxa"/>
          <w:bottom w:w="15" w:type="dxa"/>
          <w:end w:w="15" w:type="dxa"/>
        </w:tblCellMar>
        <w:tblLook w:val="04a0" w:noVBand="1" w:noHBand="0" w:lastColumn="0" w:firstColumn="1" w:lastRow="0" w:firstRow="1"/>
      </w:tblPr>
      <w:tblGrid>
        <w:gridCol w:w="938"/>
        <w:gridCol w:w="1234"/>
        <w:gridCol w:w="1246"/>
      </w:tblGrid>
      <w:tr>
        <w:trPr>
          <w:tblHeader w:val="true"/>
        </w:trPr>
        <w:tc>
          <w:tcPr>
            <w:tcW w:w="938" w:type="dxa"/>
            <w:tcBorders/>
            <w:vAlign w:val="center"/>
          </w:tcPr>
          <w:p>
            <w:pPr>
              <w:pStyle w:val="Normal"/>
              <w:spacing w:before="0" w:after="160"/>
              <w:rPr>
                <w:b/>
                <w:bCs/>
              </w:rPr>
            </w:pPr>
            <w:r>
              <w:rPr>
                <w:b/>
                <w:bCs/>
              </w:rPr>
              <w:t>Language</w:t>
            </w:r>
          </w:p>
        </w:tc>
        <w:tc>
          <w:tcPr>
            <w:tcW w:w="1234" w:type="dxa"/>
            <w:tcBorders/>
            <w:vAlign w:val="center"/>
          </w:tcPr>
          <w:p>
            <w:pPr>
              <w:pStyle w:val="Normal"/>
              <w:spacing w:before="0" w:after="160"/>
              <w:rPr>
                <w:b/>
                <w:bCs/>
              </w:rPr>
            </w:pPr>
            <w:r>
              <w:rPr>
                <w:b/>
                <w:bCs/>
              </w:rPr>
              <w:t>Written</w:t>
            </w:r>
          </w:p>
        </w:tc>
        <w:tc>
          <w:tcPr>
            <w:tcW w:w="1246" w:type="dxa"/>
            <w:tcBorders/>
            <w:vAlign w:val="center"/>
          </w:tcPr>
          <w:p>
            <w:pPr>
              <w:pStyle w:val="Normal"/>
              <w:spacing w:before="0" w:after="160"/>
              <w:rPr>
                <w:b/>
                <w:bCs/>
              </w:rPr>
            </w:pPr>
            <w:r>
              <w:rPr>
                <w:b/>
                <w:bCs/>
              </w:rPr>
              <w:t>Spoken</w:t>
            </w:r>
          </w:p>
        </w:tc>
      </w:tr>
      <w:tr>
        <w:trPr/>
        <w:tc>
          <w:tcPr>
            <w:tcW w:w="938" w:type="dxa"/>
            <w:tcBorders/>
            <w:vAlign w:val="center"/>
          </w:tcPr>
          <w:p>
            <w:pPr>
              <w:pStyle w:val="Normal"/>
              <w:widowControl/>
              <w:bidi w:val="0"/>
              <w:spacing w:lineRule="auto" w:line="259" w:before="0" w:after="160"/>
              <w:jc w:val="start"/>
              <w:rPr/>
            </w:pPr>
            <w:r>
              <w:rPr/>
              <w:t>German</w:t>
            </w:r>
          </w:p>
        </w:tc>
        <w:tc>
          <w:tcPr>
            <w:tcW w:w="1234" w:type="dxa"/>
            <w:tcBorders/>
            <w:vAlign w:val="center"/>
          </w:tcPr>
          <w:p>
            <w:pPr>
              <w:pStyle w:val="Normal"/>
              <w:widowControl/>
              <w:bidi w:val="0"/>
              <w:spacing w:lineRule="auto" w:line="259" w:before="0" w:after="160"/>
              <w:jc w:val="start"/>
              <w:rPr/>
            </w:pPr>
            <w:r>
              <w:rPr/>
              <w:t>Intermediate</w:t>
            </w:r>
          </w:p>
        </w:tc>
        <w:tc>
          <w:tcPr>
            <w:tcW w:w="1246" w:type="dxa"/>
            <w:tcBorders/>
            <w:vAlign w:val="center"/>
          </w:tcPr>
          <w:p>
            <w:pPr>
              <w:pStyle w:val="Normal"/>
              <w:widowControl/>
              <w:bidi w:val="0"/>
              <w:spacing w:lineRule="auto" w:line="259" w:before="0" w:after="160"/>
              <w:jc w:val="start"/>
              <w:rPr/>
            </w:pPr>
            <w:r>
              <w:rPr/>
              <w:t>Intermediate</w:t>
            </w:r>
          </w:p>
        </w:tc>
      </w:tr>
      <w:tr>
        <w:trPr/>
        <w:tc>
          <w:tcPr>
            <w:tcW w:w="938" w:type="dxa"/>
            <w:tcBorders/>
            <w:vAlign w:val="center"/>
          </w:tcPr>
          <w:p>
            <w:pPr>
              <w:pStyle w:val="Normal"/>
              <w:widowControl/>
              <w:bidi w:val="0"/>
              <w:spacing w:lineRule="auto" w:line="259" w:before="0" w:after="160"/>
              <w:jc w:val="start"/>
              <w:rPr/>
            </w:pPr>
            <w:r>
              <w:rPr/>
              <w:t>French</w:t>
            </w:r>
          </w:p>
        </w:tc>
        <w:tc>
          <w:tcPr>
            <w:tcW w:w="1234" w:type="dxa"/>
            <w:tcBorders/>
            <w:vAlign w:val="center"/>
          </w:tcPr>
          <w:p>
            <w:pPr>
              <w:pStyle w:val="Normal"/>
              <w:widowControl/>
              <w:bidi w:val="0"/>
              <w:spacing w:lineRule="auto" w:line="259" w:before="0" w:after="160"/>
              <w:jc w:val="start"/>
              <w:rPr/>
            </w:pPr>
            <w:r>
              <w:rPr/>
              <w:t>Basic</w:t>
            </w:r>
          </w:p>
        </w:tc>
        <w:tc>
          <w:tcPr>
            <w:tcW w:w="1246" w:type="dxa"/>
            <w:tcBorders/>
            <w:vAlign w:val="center"/>
          </w:tcPr>
          <w:p>
            <w:pPr>
              <w:pStyle w:val="Normal"/>
              <w:widowControl/>
              <w:bidi w:val="0"/>
              <w:spacing w:lineRule="auto" w:line="259" w:before="0" w:after="160"/>
              <w:jc w:val="start"/>
              <w:rPr/>
            </w:pPr>
            <w:r>
              <w:rPr/>
              <w:t>Basic</w:t>
            </w:r>
          </w:p>
        </w:tc>
      </w:tr>
    </w:tbl>
    <w:p>
      <w:pPr>
        <w:pStyle w:val="Normal"/>
        <w:rPr/>
      </w:pPr>
      <w:r>
        <w:rPr/>
        <mc:AlternateContent>
          <mc:Choice Requires="wps">
            <w:drawing>
              <wp:inline distT="0" distB="0" distL="0" distR="0">
                <wp:extent cx="635" cy="19050"/>
                <wp:effectExtent l="0" t="0" r="0" b="0"/>
                <wp:docPr id="7" name="Shape7"/>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Professional Experience</w:t>
      </w:r>
    </w:p>
    <w:p>
      <w:pPr>
        <w:pStyle w:val="Normal"/>
        <w:rPr>
          <w:b/>
          <w:bCs/>
        </w:rPr>
      </w:pPr>
      <w:r>
        <w:rPr>
          <w:b/>
          <w:bCs/>
        </w:rPr>
        <w:t xml:space="preserve">Systems Administrator — </w:t>
      </w:r>
      <w:r>
        <w:rPr>
          <w:b/>
          <w:bCs/>
        </w:rPr>
        <w:t xml:space="preserve">University of Manchester </w:t>
      </w:r>
      <w:r>
        <w:rPr>
          <w:b/>
          <w:bCs/>
        </w:rPr>
        <w:t xml:space="preserve"> (</w:t>
      </w:r>
      <w:r>
        <w:rPr>
          <w:b/>
          <w:bCs/>
        </w:rPr>
        <w:t>Hybrid</w:t>
      </w:r>
      <w:r>
        <w:rPr>
          <w:b/>
          <w:bCs/>
        </w:rPr>
        <w:t>)</w:t>
      </w:r>
    </w:p>
    <w:p>
      <w:pPr>
        <w:pStyle w:val="Normal"/>
        <w:rPr/>
      </w:pPr>
      <w:r>
        <w:rPr>
          <w:b/>
          <w:bCs/>
        </w:rPr>
        <w:t>Aug</w:t>
      </w:r>
      <w:r>
        <w:rPr>
          <w:b/>
          <w:bCs/>
        </w:rPr>
        <w:t xml:space="preserve"> 2021</w:t>
      </w:r>
      <w:r>
        <w:rPr>
          <w:b/>
          <w:bCs/>
        </w:rPr>
        <w:t>6</w:t>
      </w:r>
      <w:r>
        <w:rPr>
          <w:b/>
          <w:bCs/>
        </w:rPr>
        <w:t xml:space="preserve">– </w:t>
      </w:r>
      <w:r>
        <w:rPr>
          <w:b/>
          <w:bCs/>
        </w:rPr>
        <w:t xml:space="preserve">Nov </w:t>
      </w:r>
      <w:r>
        <w:rPr>
          <w:b/>
          <w:bCs/>
        </w:rPr>
        <w:t>2026 (</w:t>
      </w:r>
      <w:r>
        <w:rPr>
          <w:b/>
          <w:bCs/>
        </w:rPr>
        <w:t>3 Months</w:t>
      </w:r>
      <w:r>
        <w:rPr>
          <w:b/>
          <w:bCs/>
        </w:rPr>
        <w:t>)</w:t>
      </w:r>
    </w:p>
    <w:p>
      <w:pPr>
        <w:pStyle w:val="Normal"/>
        <w:rPr/>
      </w:pPr>
      <w:r>
        <w:rPr/>
        <w:t>A short term contract to assist with reducing the open ticket count in respect to security remediations. In this role I expected to be patching and upgrading Linux and Solaris servers. In reality my time was spent renewing SSL certificates, updating Apache configs and investigating CVE’s and their scope on the Linux base Wordpress infrastructure for hundreds of sites hosted by the University.</w:t>
      </w:r>
    </w:p>
    <w:p>
      <w:pPr>
        <w:pStyle w:val="Normal"/>
        <w:rPr>
          <w:b/>
          <w:bCs/>
        </w:rPr>
      </w:pPr>
      <w:r>
        <w:rPr>
          <w:b/>
          <w:bCs/>
        </w:rPr>
        <w:t>Responsibilities</w:t>
      </w:r>
    </w:p>
    <w:p>
      <w:pPr>
        <w:pStyle w:val="ListParagraph"/>
        <w:numPr>
          <w:ilvl w:val="0"/>
          <w:numId w:val="2"/>
        </w:numPr>
        <w:rPr/>
      </w:pPr>
      <w:r>
        <w:rPr/>
        <w:t xml:space="preserve">Assisted with </w:t>
      </w:r>
      <w:r>
        <w:rPr/>
        <w:t>renewing SSL certificates.</w:t>
      </w:r>
    </w:p>
    <w:p>
      <w:pPr>
        <w:pStyle w:val="ListParagraph"/>
        <w:numPr>
          <w:ilvl w:val="0"/>
          <w:numId w:val="2"/>
        </w:numPr>
        <w:rPr/>
      </w:pPr>
      <w:r>
        <w:rPr/>
        <w:t>Adapted Apache configs to use SSL where not in use.</w:t>
      </w:r>
    </w:p>
    <w:p>
      <w:pPr>
        <w:pStyle w:val="ListParagraph"/>
        <w:numPr>
          <w:ilvl w:val="0"/>
          <w:numId w:val="2"/>
        </w:numPr>
        <w:rPr/>
      </w:pPr>
      <w:r>
        <w:rPr/>
        <w:t>Investigate CVE vulnerabilities.</w:t>
      </w:r>
      <w:r>
        <w:rPr/>
        <w:t xml:space="preserve"> </w:t>
      </w:r>
    </w:p>
    <w:p>
      <w:pPr>
        <w:pStyle w:val="ListParagraph"/>
        <w:numPr>
          <w:ilvl w:val="0"/>
          <w:numId w:val="2"/>
        </w:numPr>
        <w:rPr/>
      </w:pPr>
      <w:r>
        <w:rPr/>
        <w:t>Assisted with Solaris 11 patching.</w:t>
      </w:r>
    </w:p>
    <w:p>
      <w:pPr>
        <w:pStyle w:val="ListParagraph"/>
        <w:numPr>
          <w:ilvl w:val="0"/>
          <w:numId w:val="2"/>
        </w:numPr>
        <w:rPr/>
      </w:pPr>
      <w:r>
        <w:rPr/>
        <w:t xml:space="preserve">Use </w:t>
      </w:r>
      <w:r>
        <w:rPr/>
        <w:t>ServiceNow to track tickets.</w:t>
      </w:r>
    </w:p>
    <w:p>
      <w:pPr>
        <w:pStyle w:val="Normal"/>
        <w:rPr>
          <w:b/>
          <w:bCs/>
        </w:rPr>
      </w:pPr>
      <w:r>
        <w:rPr>
          <w:b/>
          <w:bCs/>
        </w:rPr>
        <w:t>Main Skills:</w:t>
        <w:br/>
      </w:r>
      <w:r>
        <w:rPr>
          <w:b/>
          <w:bCs/>
        </w:rPr>
        <w:t>Ubuntu, Red Hat, Solaris, Apache, Wordpress</w:t>
      </w:r>
      <w:r>
        <w:rPr>
          <w:b/>
          <w:bCs/>
        </w:rPr>
        <w:t>, Ansible Automation</w:t>
      </w:r>
    </w:p>
    <w:p>
      <w:pPr>
        <w:pStyle w:val="Normal"/>
        <w:rPr>
          <w:b/>
          <w:bCs/>
        </w:rPr>
      </w:pPr>
      <w:r>
        <w:rPr>
          <w:b/>
          <w:bCs/>
        </w:rPr>
        <w:t>Systems Administrator — Virgin Media (WFH)</w:t>
      </w:r>
    </w:p>
    <w:p>
      <w:pPr>
        <w:pStyle w:val="Normal"/>
        <w:rPr/>
      </w:pPr>
      <w:r>
        <w:rPr>
          <w:b/>
          <w:bCs/>
        </w:rPr>
        <w:t>Jul 2021 – May 2026 (5 Years)</w:t>
      </w:r>
    </w:p>
    <w:p>
      <w:pPr>
        <w:pStyle w:val="Normal"/>
        <w:rPr/>
      </w:pPr>
      <w:r>
        <w:rPr/>
        <w:t>Second long-term contract with Virgin Media, working remotely to support and modernise the Unix/Linux estate.  Upgrade existing servers/applications, or migrate platforms to new infrastructure. Also required to complete some Red Hat Openshift training.</w:t>
      </w:r>
    </w:p>
    <w:p>
      <w:pPr>
        <w:pStyle w:val="Normal"/>
        <w:rPr>
          <w:b/>
          <w:bCs/>
        </w:rPr>
      </w:pPr>
      <w:r>
        <w:rPr>
          <w:b/>
          <w:bCs/>
        </w:rPr>
        <w:t>Responsibilities</w:t>
      </w:r>
    </w:p>
    <w:p>
      <w:pPr>
        <w:pStyle w:val="ListParagraph"/>
        <w:numPr>
          <w:ilvl w:val="0"/>
          <w:numId w:val="2"/>
        </w:numPr>
        <w:rPr/>
      </w:pPr>
      <w:r>
        <w:rPr/>
        <w:t xml:space="preserve">Assisted with Red Hat in-situ upgrades across enterprise infrastructure </w:t>
      </w:r>
    </w:p>
    <w:p>
      <w:pPr>
        <w:pStyle w:val="ListParagraph"/>
        <w:numPr>
          <w:ilvl w:val="0"/>
          <w:numId w:val="2"/>
        </w:numPr>
        <w:rPr/>
      </w:pPr>
      <w:r>
        <w:rPr/>
        <w:t xml:space="preserve">Expanded support responsibilities to include O2 systems </w:t>
      </w:r>
    </w:p>
    <w:p>
      <w:pPr>
        <w:pStyle w:val="ListParagraph"/>
        <w:numPr>
          <w:ilvl w:val="0"/>
          <w:numId w:val="2"/>
        </w:numPr>
        <w:rPr/>
      </w:pPr>
      <w:r>
        <w:rPr/>
        <w:t xml:space="preserve">Continued virtualization, migration, and automation work from previous Virgin Media engagement </w:t>
      </w:r>
    </w:p>
    <w:p>
      <w:pPr>
        <w:pStyle w:val="ListParagraph"/>
        <w:numPr>
          <w:ilvl w:val="0"/>
          <w:numId w:val="2"/>
        </w:numPr>
        <w:rPr/>
      </w:pPr>
      <w:r>
        <w:rPr/>
        <w:t>Supported ongoing long-term technology refresh programmes.</w:t>
      </w:r>
    </w:p>
    <w:p>
      <w:pPr>
        <w:pStyle w:val="ListParagraph"/>
        <w:numPr>
          <w:ilvl w:val="0"/>
          <w:numId w:val="2"/>
        </w:numPr>
        <w:rPr/>
      </w:pPr>
      <w:r>
        <w:rPr/>
        <w:t>Support applications teams and developers with server customisation.</w:t>
      </w:r>
    </w:p>
    <w:p>
      <w:pPr>
        <w:pStyle w:val="ListParagraph"/>
        <w:numPr>
          <w:ilvl w:val="0"/>
          <w:numId w:val="2"/>
        </w:numPr>
        <w:rPr/>
      </w:pPr>
      <w:r>
        <w:rPr/>
        <w:t>Use Jira and Remedy to track projects and raise change requests.</w:t>
      </w:r>
    </w:p>
    <w:p>
      <w:pPr>
        <w:pStyle w:val="Normal"/>
        <w:rPr/>
      </w:pPr>
      <w:r>
        <w:rPr>
          <w:b/>
          <w:bCs/>
        </w:rPr>
        <w:t>Main Skills:</w:t>
      </w:r>
      <w:r>
        <w:rPr/>
        <w:br/>
        <w:t>Red Hat 7/8/9, Leapp In-Situ Upgrades, Ansible Automation</w:t>
      </w:r>
    </w:p>
    <w:p>
      <w:pPr>
        <w:pStyle w:val="Normal"/>
        <w:rPr/>
      </w:pPr>
      <w:r>
        <w:rPr/>
        <mc:AlternateContent>
          <mc:Choice Requires="wps">
            <w:drawing>
              <wp:inline distT="0" distB="0" distL="0" distR="0">
                <wp:extent cx="5731510" cy="19050"/>
                <wp:effectExtent l="0" t="0" r="0" b="0"/>
                <wp:docPr id="8" name="Shape8"/>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Linux Systems Administrator — Domestic &amp; General (WFH)</w:t>
      </w:r>
    </w:p>
    <w:p>
      <w:pPr>
        <w:pStyle w:val="Normal"/>
        <w:rPr/>
      </w:pPr>
      <w:r>
        <w:rPr>
          <w:b/>
          <w:bCs/>
        </w:rPr>
        <w:t>Nov 2020 – Jun 2021 (7 Months)</w:t>
      </w:r>
    </w:p>
    <w:p>
      <w:pPr>
        <w:pStyle w:val="Normal"/>
        <w:rPr/>
      </w:pPr>
      <w:r>
        <w:rPr/>
        <w:t>Contracted to implement a VMware environment build using Ansible Tower and system automation.</w:t>
      </w:r>
    </w:p>
    <w:p>
      <w:pPr>
        <w:pStyle w:val="Normal"/>
        <w:rPr>
          <w:b/>
          <w:bCs/>
        </w:rPr>
      </w:pPr>
      <w:r>
        <w:rPr>
          <w:b/>
          <w:bCs/>
        </w:rPr>
        <w:t>Responsibilities</w:t>
      </w:r>
    </w:p>
    <w:p>
      <w:pPr>
        <w:pStyle w:val="ListParagraph"/>
        <w:numPr>
          <w:ilvl w:val="0"/>
          <w:numId w:val="3"/>
        </w:numPr>
        <w:rPr/>
      </w:pPr>
      <w:r>
        <w:rPr/>
        <w:t xml:space="preserve">Built development, production, and pre-production environments within an ESXi cluster </w:t>
      </w:r>
    </w:p>
    <w:p>
      <w:pPr>
        <w:pStyle w:val="ListParagraph"/>
        <w:numPr>
          <w:ilvl w:val="0"/>
          <w:numId w:val="3"/>
        </w:numPr>
        <w:rPr/>
      </w:pPr>
      <w:r>
        <w:rPr/>
        <w:t xml:space="preserve">Automated installation of Helpsystems BoKS IAM platform </w:t>
      </w:r>
    </w:p>
    <w:p>
      <w:pPr>
        <w:pStyle w:val="ListParagraph"/>
        <w:numPr>
          <w:ilvl w:val="0"/>
          <w:numId w:val="3"/>
        </w:numPr>
        <w:rPr/>
      </w:pPr>
      <w:r>
        <w:rPr/>
        <w:t xml:space="preserve">Centralised system access via Active Directory </w:t>
      </w:r>
    </w:p>
    <w:p>
      <w:pPr>
        <w:pStyle w:val="ListParagraph"/>
        <w:numPr>
          <w:ilvl w:val="0"/>
          <w:numId w:val="3"/>
        </w:numPr>
        <w:rPr/>
      </w:pPr>
      <w:r>
        <w:rPr/>
        <w:t xml:space="preserve">Automated application installation and Satellite registration using Ansible </w:t>
      </w:r>
    </w:p>
    <w:p>
      <w:pPr>
        <w:pStyle w:val="ListParagraph"/>
        <w:numPr>
          <w:ilvl w:val="0"/>
          <w:numId w:val="3"/>
        </w:numPr>
        <w:rPr/>
      </w:pPr>
      <w:r>
        <w:rPr/>
        <w:t xml:space="preserve">Developed reusable Linux patching playbooks </w:t>
      </w:r>
    </w:p>
    <w:p>
      <w:pPr>
        <w:pStyle w:val="ListParagraph"/>
        <w:numPr>
          <w:ilvl w:val="0"/>
          <w:numId w:val="3"/>
        </w:numPr>
        <w:rPr/>
      </w:pPr>
      <w:r>
        <w:rPr/>
        <w:t xml:space="preserve">Produced acceptance test evidence and housekeeping automation </w:t>
      </w:r>
    </w:p>
    <w:p>
      <w:pPr>
        <w:pStyle w:val="Normal"/>
        <w:rPr/>
      </w:pPr>
      <w:r>
        <w:rPr>
          <w:b/>
          <w:bCs/>
        </w:rPr>
        <w:t>Main Skills:</w:t>
      </w:r>
      <w:r>
        <w:rPr/>
        <w:br/>
        <w:t>RHEL 8.3, Ansible Tower, BoKS (IAM), Satellite 6.7</w:t>
      </w:r>
    </w:p>
    <w:p>
      <w:pPr>
        <w:pStyle w:val="Normal"/>
        <w:rPr/>
      </w:pPr>
      <w:r>
        <w:rPr/>
        <mc:AlternateContent>
          <mc:Choice Requires="wps">
            <w:drawing>
              <wp:inline distT="0" distB="0" distL="0" distR="0">
                <wp:extent cx="5731510" cy="19050"/>
                <wp:effectExtent l="0" t="0" r="0" b="0"/>
                <wp:docPr id="9" name="Shape9"/>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Unix Developer — HMRC (WFH / Southend-on-Sea)</w:t>
      </w:r>
    </w:p>
    <w:p>
      <w:pPr>
        <w:pStyle w:val="Normal"/>
        <w:rPr/>
      </w:pPr>
      <w:r>
        <w:rPr>
          <w:b/>
          <w:bCs/>
        </w:rPr>
        <w:t>Feb 2020 – Sep 2020 (7 Months)</w:t>
      </w:r>
    </w:p>
    <w:p>
      <w:pPr>
        <w:pStyle w:val="Normal"/>
        <w:rPr/>
      </w:pPr>
      <w:r>
        <w:rPr/>
        <w:t>Civil Service contract during lockdown requiring SC Clearance. My role was to work on the processing scripts that send small files between systems using the in house file transfer system known as UTM. Transfers would pass between the IBM mainframe and the Amazon hosted buckets with both encryption and handshaking to ensure the correct files are received, verified and acknowledged.</w:t>
      </w:r>
    </w:p>
    <w:p>
      <w:pPr>
        <w:pStyle w:val="Normal"/>
        <w:rPr>
          <w:b/>
          <w:bCs/>
        </w:rPr>
      </w:pPr>
      <w:r>
        <w:rPr>
          <w:b/>
          <w:bCs/>
        </w:rPr>
        <w:t>Responsibilities</w:t>
      </w:r>
    </w:p>
    <w:p>
      <w:pPr>
        <w:pStyle w:val="ListParagraph"/>
        <w:numPr>
          <w:ilvl w:val="0"/>
          <w:numId w:val="4"/>
        </w:numPr>
        <w:rPr/>
      </w:pPr>
      <w:r>
        <w:rPr/>
        <w:t xml:space="preserve">Modified Unix Transfer Manager (UTM) bash scripts </w:t>
      </w:r>
    </w:p>
    <w:p>
      <w:pPr>
        <w:pStyle w:val="ListParagraph"/>
        <w:numPr>
          <w:ilvl w:val="0"/>
          <w:numId w:val="4"/>
        </w:numPr>
        <w:rPr/>
      </w:pPr>
      <w:r>
        <w:rPr/>
        <w:t xml:space="preserve">Updated transfer flows for AWS cloud migration </w:t>
      </w:r>
    </w:p>
    <w:p>
      <w:pPr>
        <w:pStyle w:val="ListParagraph"/>
        <w:numPr>
          <w:ilvl w:val="0"/>
          <w:numId w:val="4"/>
        </w:numPr>
        <w:rPr/>
      </w:pPr>
      <w:r>
        <w:rPr/>
        <w:t xml:space="preserve">Added support for new transfer requirements </w:t>
      </w:r>
    </w:p>
    <w:p>
      <w:pPr>
        <w:pStyle w:val="ListParagraph"/>
        <w:numPr>
          <w:ilvl w:val="0"/>
          <w:numId w:val="4"/>
        </w:numPr>
        <w:rPr/>
      </w:pPr>
      <w:r>
        <w:rPr/>
        <w:t xml:space="preserve">Worked within Agile development practices </w:t>
      </w:r>
    </w:p>
    <w:p>
      <w:pPr>
        <w:pStyle w:val="Normal"/>
        <w:rPr/>
      </w:pPr>
      <w:r>
        <w:rPr>
          <w:b/>
          <w:bCs/>
        </w:rPr>
        <w:t>Main Skills:</w:t>
      </w:r>
      <w:r>
        <w:rPr/>
        <w:br/>
        <w:t>Bash Scripting, Agile, UTM (Unix Transfer Manager)</w:t>
      </w:r>
    </w:p>
    <w:p>
      <w:pPr>
        <w:pStyle w:val="Normal"/>
        <w:rPr/>
      </w:pPr>
      <w:r>
        <w:rPr/>
        <mc:AlternateContent>
          <mc:Choice Requires="wps">
            <w:drawing>
              <wp:inline distT="0" distB="0" distL="0" distR="0">
                <wp:extent cx="5731510" cy="19050"/>
                <wp:effectExtent l="0" t="0" r="0" b="0"/>
                <wp:docPr id="10" name="Shape10"/>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Systems Administrator — University of Leicester</w:t>
      </w:r>
    </w:p>
    <w:p>
      <w:pPr>
        <w:pStyle w:val="Normal"/>
        <w:rPr/>
      </w:pPr>
      <w:r>
        <w:rPr>
          <w:b/>
          <w:bCs/>
        </w:rPr>
        <w:t>May 2019 – Aug 2019 (4 Months)</w:t>
      </w:r>
    </w:p>
    <w:p>
      <w:pPr>
        <w:pStyle w:val="Normal"/>
        <w:rPr/>
      </w:pPr>
      <w:r>
        <w:rPr/>
        <w:t>Short-term infrastructure support and documentation contract.</w:t>
      </w:r>
    </w:p>
    <w:p>
      <w:pPr>
        <w:pStyle w:val="Normal"/>
        <w:rPr>
          <w:b/>
          <w:bCs/>
        </w:rPr>
      </w:pPr>
      <w:r>
        <w:rPr>
          <w:b/>
          <w:bCs/>
        </w:rPr>
        <w:t>Responsibilities</w:t>
      </w:r>
    </w:p>
    <w:p>
      <w:pPr>
        <w:pStyle w:val="ListParagraph"/>
        <w:numPr>
          <w:ilvl w:val="0"/>
          <w:numId w:val="5"/>
        </w:numPr>
        <w:rPr/>
      </w:pPr>
      <w:r>
        <w:rPr/>
        <w:t xml:space="preserve">Maintained DHCP, Secure DNS, Wi-Fi Gateways, Radius, Proxy Services, and IPTables Firewalls </w:t>
      </w:r>
    </w:p>
    <w:p>
      <w:pPr>
        <w:pStyle w:val="ListParagraph"/>
        <w:numPr>
          <w:ilvl w:val="0"/>
          <w:numId w:val="5"/>
        </w:numPr>
        <w:rPr/>
      </w:pPr>
      <w:r>
        <w:rPr/>
        <w:t xml:space="preserve">Supported authentication systems </w:t>
      </w:r>
    </w:p>
    <w:p>
      <w:pPr>
        <w:pStyle w:val="ListParagraph"/>
        <w:numPr>
          <w:ilvl w:val="0"/>
          <w:numId w:val="5"/>
        </w:numPr>
        <w:rPr/>
      </w:pPr>
      <w:r>
        <w:rPr/>
        <w:t xml:space="preserve">Managed Xen virtualised Debian infrastructure </w:t>
      </w:r>
    </w:p>
    <w:p>
      <w:pPr>
        <w:pStyle w:val="ListParagraph"/>
        <w:numPr>
          <w:ilvl w:val="0"/>
          <w:numId w:val="5"/>
        </w:numPr>
        <w:rPr/>
      </w:pPr>
      <w:r>
        <w:rPr/>
        <w:t xml:space="preserve">Worked with CVS, GPG signing, CFEngine, Squid, Nagios, Elasticsearch, and Apache </w:t>
      </w:r>
    </w:p>
    <w:p>
      <w:pPr>
        <w:pStyle w:val="ListParagraph"/>
        <w:numPr>
          <w:ilvl w:val="0"/>
          <w:numId w:val="5"/>
        </w:numPr>
        <w:rPr/>
      </w:pPr>
      <w:r>
        <w:rPr/>
        <w:t>Reverse engineer the existing BIND DHCP system to provide documentation.</w:t>
      </w:r>
    </w:p>
    <w:p>
      <w:pPr>
        <w:pStyle w:val="Normal"/>
        <w:rPr/>
      </w:pPr>
      <w:r>
        <w:rPr>
          <w:b/>
          <w:bCs/>
        </w:rPr>
        <w:t>Main Skills:</w:t>
      </w:r>
      <w:r>
        <w:rPr/>
        <w:br/>
        <w:t>GPG, Bash Scripting, CFEngine, SQL Scripting, DHCP, DNS</w:t>
      </w:r>
    </w:p>
    <w:p>
      <w:pPr>
        <w:pStyle w:val="Normal"/>
        <w:rPr/>
      </w:pPr>
      <w:r>
        <w:rPr/>
        <mc:AlternateContent>
          <mc:Choice Requires="wps">
            <w:drawing>
              <wp:inline distT="0" distB="0" distL="0" distR="0">
                <wp:extent cx="5731510" cy="19050"/>
                <wp:effectExtent l="0" t="0" r="0" b="0"/>
                <wp:docPr id="11" name="Shape11"/>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Systems Administrator — Virgin Media, Knowsley</w:t>
      </w:r>
    </w:p>
    <w:p>
      <w:pPr>
        <w:pStyle w:val="Normal"/>
        <w:rPr/>
      </w:pPr>
      <w:r>
        <w:rPr>
          <w:b/>
          <w:bCs/>
        </w:rPr>
        <w:t>May 2015 – Jan 2019 (3 Years 7 Months)</w:t>
      </w:r>
    </w:p>
    <w:p>
      <w:pPr>
        <w:pStyle w:val="Normal"/>
        <w:rPr/>
      </w:pPr>
      <w:r>
        <w:rPr/>
        <w:t>Supported virtualization and migration of nationwide legacy Unix systems.</w:t>
      </w:r>
    </w:p>
    <w:p>
      <w:pPr>
        <w:pStyle w:val="Normal"/>
        <w:rPr>
          <w:b/>
          <w:bCs/>
        </w:rPr>
      </w:pPr>
      <w:r>
        <w:rPr>
          <w:b/>
          <w:bCs/>
        </w:rPr>
        <w:t>Responsibilities</w:t>
      </w:r>
    </w:p>
    <w:p>
      <w:pPr>
        <w:pStyle w:val="ListParagraph"/>
        <w:numPr>
          <w:ilvl w:val="0"/>
          <w:numId w:val="6"/>
        </w:numPr>
        <w:rPr/>
      </w:pPr>
      <w:r>
        <w:rPr/>
        <w:t xml:space="preserve">Built Solaris and Linux virtual environments using Zones, LDOMs, and VMware </w:t>
      </w:r>
    </w:p>
    <w:p>
      <w:pPr>
        <w:pStyle w:val="ListParagraph"/>
        <w:numPr>
          <w:ilvl w:val="0"/>
          <w:numId w:val="6"/>
        </w:numPr>
        <w:rPr/>
      </w:pPr>
      <w:r>
        <w:rPr/>
        <w:t>Built servers using Kickstart, Jumpstart, and Solaris AI (Automated Installer)</w:t>
      </w:r>
    </w:p>
    <w:p>
      <w:pPr>
        <w:pStyle w:val="ListParagraph"/>
        <w:numPr>
          <w:ilvl w:val="0"/>
          <w:numId w:val="6"/>
        </w:numPr>
        <w:rPr/>
      </w:pPr>
      <w:r>
        <w:rPr/>
        <w:t xml:space="preserve">Automated deployments using Ansible </w:t>
      </w:r>
    </w:p>
    <w:p>
      <w:pPr>
        <w:pStyle w:val="ListParagraph"/>
        <w:numPr>
          <w:ilvl w:val="0"/>
          <w:numId w:val="6"/>
        </w:numPr>
        <w:rPr/>
      </w:pPr>
      <w:r>
        <w:rPr/>
        <w:t xml:space="preserve">Managed migration of End-of-Life systems </w:t>
      </w:r>
    </w:p>
    <w:p>
      <w:pPr>
        <w:pStyle w:val="ListParagraph"/>
        <w:numPr>
          <w:ilvl w:val="0"/>
          <w:numId w:val="6"/>
        </w:numPr>
        <w:rPr/>
      </w:pPr>
      <w:r>
        <w:rPr/>
        <w:t xml:space="preserve">Decommissioned legacy hardware under strict change-control processes </w:t>
      </w:r>
    </w:p>
    <w:p>
      <w:pPr>
        <w:pStyle w:val="ListParagraph"/>
        <w:numPr>
          <w:ilvl w:val="0"/>
          <w:numId w:val="6"/>
        </w:numPr>
        <w:rPr/>
      </w:pPr>
      <w:r>
        <w:rPr/>
        <w:t xml:space="preserve">Assisted Liberty Global integration projects </w:t>
      </w:r>
    </w:p>
    <w:p>
      <w:pPr>
        <w:pStyle w:val="Normal"/>
        <w:rPr/>
      </w:pPr>
      <w:r>
        <w:rPr>
          <w:b/>
          <w:bCs/>
        </w:rPr>
        <w:t>Main Skills:</w:t>
      </w:r>
      <w:r>
        <w:rPr/>
        <w:br/>
        <w:t>Solaris &amp; RHEL Virtualisation, System Migration, Legacy Replacement, Cost Reduction</w:t>
      </w:r>
    </w:p>
    <w:p>
      <w:pPr>
        <w:pStyle w:val="Normal"/>
        <w:rPr/>
      </w:pPr>
      <w:r>
        <w:rPr/>
        <mc:AlternateContent>
          <mc:Choice Requires="wps">
            <w:drawing>
              <wp:inline distT="0" distB="0" distL="0" distR="0">
                <wp:extent cx="5731510" cy="19050"/>
                <wp:effectExtent l="0" t="0" r="0" b="0"/>
                <wp:docPr id="12" name="Shape12"/>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Unix Systems Administrator — TNT Express (2nd Contract)</w:t>
      </w:r>
    </w:p>
    <w:p>
      <w:pPr>
        <w:pStyle w:val="Normal"/>
        <w:rPr/>
      </w:pPr>
      <w:r>
        <w:rPr>
          <w:b/>
          <w:bCs/>
        </w:rPr>
        <w:t>Feb 2013 – May 2015 (2 Years 3 Months)</w:t>
      </w:r>
    </w:p>
    <w:p>
      <w:pPr>
        <w:pStyle w:val="Normal"/>
        <w:rPr/>
      </w:pPr>
      <w:r>
        <w:rPr/>
        <w:t>Supported rollout and maintenance of SAP back-office systems.</w:t>
      </w:r>
    </w:p>
    <w:p>
      <w:pPr>
        <w:pStyle w:val="Normal"/>
        <w:rPr>
          <w:b/>
          <w:bCs/>
        </w:rPr>
      </w:pPr>
      <w:r>
        <w:rPr>
          <w:b/>
          <w:bCs/>
        </w:rPr>
        <w:t>Responsibilities</w:t>
      </w:r>
    </w:p>
    <w:p>
      <w:pPr>
        <w:pStyle w:val="ListParagraph"/>
        <w:numPr>
          <w:ilvl w:val="0"/>
          <w:numId w:val="7"/>
        </w:numPr>
        <w:rPr/>
      </w:pPr>
      <w:r>
        <w:rPr/>
        <w:t xml:space="preserve">Assisted third parties with Solaris infrastructure upgrades </w:t>
      </w:r>
    </w:p>
    <w:p>
      <w:pPr>
        <w:pStyle w:val="ListParagraph"/>
        <w:numPr>
          <w:ilvl w:val="0"/>
          <w:numId w:val="7"/>
        </w:numPr>
        <w:rPr/>
      </w:pPr>
      <w:r>
        <w:rPr/>
        <w:t xml:space="preserve">Supported migration toward Solaris Containers and Solaris 11 </w:t>
      </w:r>
    </w:p>
    <w:p>
      <w:pPr>
        <w:pStyle w:val="ListParagraph"/>
        <w:numPr>
          <w:ilvl w:val="0"/>
          <w:numId w:val="7"/>
        </w:numPr>
        <w:rPr/>
      </w:pPr>
      <w:r>
        <w:rPr/>
        <w:t xml:space="preserve">Managed upgrade of approximately 150 Solaris 10 servers using ZFS </w:t>
      </w:r>
    </w:p>
    <w:p>
      <w:pPr>
        <w:pStyle w:val="ListParagraph"/>
        <w:numPr>
          <w:ilvl w:val="0"/>
          <w:numId w:val="7"/>
        </w:numPr>
        <w:rPr/>
      </w:pPr>
      <w:r>
        <w:rPr/>
        <w:t xml:space="preserve">Built Solaris 11 Jumpstart repository infrastructure </w:t>
      </w:r>
    </w:p>
    <w:p>
      <w:pPr>
        <w:pStyle w:val="ListParagraph"/>
        <w:numPr>
          <w:ilvl w:val="0"/>
          <w:numId w:val="7"/>
        </w:numPr>
        <w:rPr/>
      </w:pPr>
      <w:r>
        <w:rPr/>
        <w:t xml:space="preserve">Managed HSM keys for SAP and web teams </w:t>
      </w:r>
    </w:p>
    <w:p>
      <w:pPr>
        <w:pStyle w:val="Normal"/>
        <w:rPr/>
      </w:pPr>
      <w:r>
        <w:rPr>
          <w:b/>
          <w:bCs/>
        </w:rPr>
        <w:t>Main Skills:</w:t>
      </w:r>
      <w:r>
        <w:rPr/>
        <w:br/>
        <w:t>Solaris 10 Jumpstart, Veritas Volume Manager, NetBackup</w:t>
      </w:r>
    </w:p>
    <w:p>
      <w:pPr>
        <w:pStyle w:val="Normal"/>
        <w:rPr/>
      </w:pPr>
      <w:r>
        <w:rPr/>
        <mc:AlternateContent>
          <mc:Choice Requires="wps">
            <w:drawing>
              <wp:inline distT="0" distB="0" distL="0" distR="0">
                <wp:extent cx="5731510" cy="19050"/>
                <wp:effectExtent l="0" t="0" r="0" b="0"/>
                <wp:docPr id="13" name="Shape13"/>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Unix Administrator — Bank of America, Chester</w:t>
      </w:r>
    </w:p>
    <w:p>
      <w:pPr>
        <w:pStyle w:val="Normal"/>
        <w:rPr/>
      </w:pPr>
      <w:r>
        <w:rPr>
          <w:b/>
          <w:bCs/>
        </w:rPr>
        <w:t>Nov 2012 – Feb 2013 (2 Months)</w:t>
      </w:r>
    </w:p>
    <w:p>
      <w:pPr>
        <w:pStyle w:val="Normal"/>
        <w:rPr/>
      </w:pPr>
      <w:r>
        <w:rPr/>
        <w:t>Short-term cover contract.</w:t>
      </w:r>
    </w:p>
    <w:p>
      <w:pPr>
        <w:pStyle w:val="Normal"/>
        <w:rPr>
          <w:b/>
          <w:bCs/>
        </w:rPr>
      </w:pPr>
      <w:r>
        <w:rPr>
          <w:b/>
          <w:bCs/>
        </w:rPr>
        <w:t>Responsibilities</w:t>
      </w:r>
    </w:p>
    <w:p>
      <w:pPr>
        <w:pStyle w:val="ListParagraph"/>
        <w:numPr>
          <w:ilvl w:val="0"/>
          <w:numId w:val="8"/>
        </w:numPr>
        <w:rPr/>
      </w:pPr>
      <w:r>
        <w:rPr/>
        <w:t xml:space="preserve">Maintained HP-UX Connect:Direct infrastructure </w:t>
      </w:r>
    </w:p>
    <w:p>
      <w:pPr>
        <w:pStyle w:val="ListParagraph"/>
        <w:numPr>
          <w:ilvl w:val="0"/>
          <w:numId w:val="8"/>
        </w:numPr>
        <w:rPr/>
      </w:pPr>
      <w:r>
        <w:rPr/>
        <w:t xml:space="preserve">Supported filesystem administration </w:t>
      </w:r>
    </w:p>
    <w:p>
      <w:pPr>
        <w:pStyle w:val="Normal"/>
        <w:rPr/>
      </w:pPr>
      <w:r>
        <w:rPr>
          <w:b/>
          <w:bCs/>
        </w:rPr>
        <w:t>Main Skills:</w:t>
      </w:r>
      <w:r>
        <w:rPr/>
        <w:br/>
        <w:t>HP-UX 11, Connect:Direct</w:t>
      </w:r>
    </w:p>
    <w:p>
      <w:pPr>
        <w:pStyle w:val="Normal"/>
        <w:rPr/>
      </w:pPr>
      <w:r>
        <w:rPr/>
        <mc:AlternateContent>
          <mc:Choice Requires="wps">
            <w:drawing>
              <wp:inline distT="0" distB="0" distL="0" distR="0">
                <wp:extent cx="5731510" cy="19050"/>
                <wp:effectExtent l="0" t="0" r="0" b="0"/>
                <wp:docPr id="14" name="Shape14"/>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Unix Engineer — Ericsson, Athlone, Ireland</w:t>
      </w:r>
    </w:p>
    <w:p>
      <w:pPr>
        <w:pStyle w:val="Normal"/>
        <w:rPr/>
      </w:pPr>
      <w:r>
        <w:rPr>
          <w:b/>
          <w:bCs/>
        </w:rPr>
        <w:t>Nov 2011 – Oct 2012 (1 Year)</w:t>
      </w:r>
    </w:p>
    <w:p>
      <w:pPr>
        <w:pStyle w:val="Normal"/>
        <w:rPr/>
      </w:pPr>
      <w:r>
        <w:rPr/>
        <w:t>Worked on Ericsson platform infrastructure services. Provide modifications to the scripts, and update documentation of the Cell Tower install suite to be used by field engineers building cell towers.</w:t>
      </w:r>
    </w:p>
    <w:p>
      <w:pPr>
        <w:pStyle w:val="Normal"/>
        <w:rPr>
          <w:b/>
          <w:bCs/>
        </w:rPr>
      </w:pPr>
      <w:r>
        <w:rPr>
          <w:b/>
          <w:bCs/>
        </w:rPr>
        <w:t>Responsibilities</w:t>
      </w:r>
    </w:p>
    <w:p>
      <w:pPr>
        <w:pStyle w:val="ListParagraph"/>
        <w:numPr>
          <w:ilvl w:val="0"/>
          <w:numId w:val="9"/>
        </w:numPr>
        <w:rPr/>
      </w:pPr>
      <w:r>
        <w:rPr/>
        <w:t xml:space="preserve">Developed Bash-based rollout automation </w:t>
      </w:r>
    </w:p>
    <w:p>
      <w:pPr>
        <w:pStyle w:val="ListParagraph"/>
        <w:numPr>
          <w:ilvl w:val="0"/>
          <w:numId w:val="9"/>
        </w:numPr>
        <w:rPr/>
      </w:pPr>
      <w:r>
        <w:rPr/>
        <w:t xml:space="preserve">Automated deployment of cellular network infrastructure </w:t>
      </w:r>
    </w:p>
    <w:p>
      <w:pPr>
        <w:pStyle w:val="ListParagraph"/>
        <w:numPr>
          <w:ilvl w:val="0"/>
          <w:numId w:val="9"/>
        </w:numPr>
        <w:rPr/>
      </w:pPr>
      <w:r>
        <w:rPr/>
        <w:t xml:space="preserve">Produced technical documentation and testing procedures </w:t>
      </w:r>
    </w:p>
    <w:p>
      <w:pPr>
        <w:pStyle w:val="ListParagraph"/>
        <w:numPr>
          <w:ilvl w:val="0"/>
          <w:numId w:val="9"/>
        </w:numPr>
        <w:rPr/>
      </w:pPr>
      <w:r>
        <w:rPr/>
        <w:t xml:space="preserve">Supported rollout solutions for international telecom customers </w:t>
      </w:r>
    </w:p>
    <w:p>
      <w:pPr>
        <w:pStyle w:val="Normal"/>
        <w:rPr/>
      </w:pPr>
      <w:r>
        <w:rPr>
          <w:b/>
          <w:bCs/>
        </w:rPr>
        <w:t>Main Skills:</w:t>
      </w:r>
      <w:r>
        <w:rPr/>
        <w:br/>
        <w:t>VMware ESXi, Solaris Jumpstart, RHEL Kickstart, Bash Automation</w:t>
      </w:r>
    </w:p>
    <w:p>
      <w:pPr>
        <w:pStyle w:val="Normal"/>
        <w:rPr/>
      </w:pPr>
      <w:r>
        <w:rPr/>
        <mc:AlternateContent>
          <mc:Choice Requires="wps">
            <w:drawing>
              <wp:inline distT="0" distB="0" distL="0" distR="0">
                <wp:extent cx="5731510" cy="19050"/>
                <wp:effectExtent l="0" t="0" r="0" b="0"/>
                <wp:docPr id="15" name="Shape15"/>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Unix Systems Administrator — Egg.com, Derby</w:t>
      </w:r>
    </w:p>
    <w:p>
      <w:pPr>
        <w:pStyle w:val="Normal"/>
        <w:rPr/>
      </w:pPr>
      <w:r>
        <w:rPr>
          <w:b/>
          <w:bCs/>
        </w:rPr>
        <w:t>Mar 2009 – Sep 2011 (2 Years 6 Months)</w:t>
      </w:r>
    </w:p>
    <w:p>
      <w:pPr>
        <w:pStyle w:val="Normal"/>
        <w:rPr/>
      </w:pPr>
      <w:r>
        <w:rPr/>
        <w:t>Supported structured decommissioning of Egg.com’s data centre following Citi acquisition.</w:t>
      </w:r>
    </w:p>
    <w:p>
      <w:pPr>
        <w:pStyle w:val="Normal"/>
        <w:rPr>
          <w:b/>
          <w:bCs/>
        </w:rPr>
      </w:pPr>
      <w:r>
        <w:rPr>
          <w:b/>
          <w:bCs/>
        </w:rPr>
        <w:t>Responsibilities</w:t>
      </w:r>
    </w:p>
    <w:p>
      <w:pPr>
        <w:pStyle w:val="ListParagraph"/>
        <w:numPr>
          <w:ilvl w:val="0"/>
          <w:numId w:val="10"/>
        </w:numPr>
        <w:rPr/>
      </w:pPr>
      <w:r>
        <w:rPr/>
        <w:t xml:space="preserve">Managed strict banking change-control procedures </w:t>
      </w:r>
    </w:p>
    <w:p>
      <w:pPr>
        <w:pStyle w:val="ListParagraph"/>
        <w:numPr>
          <w:ilvl w:val="0"/>
          <w:numId w:val="10"/>
        </w:numPr>
        <w:rPr/>
      </w:pPr>
      <w:r>
        <w:rPr/>
        <w:t xml:space="preserve">Updated asset management systems </w:t>
      </w:r>
    </w:p>
    <w:p>
      <w:pPr>
        <w:pStyle w:val="ListParagraph"/>
        <w:numPr>
          <w:ilvl w:val="0"/>
          <w:numId w:val="10"/>
        </w:numPr>
        <w:rPr/>
      </w:pPr>
      <w:r>
        <w:rPr/>
        <w:t xml:space="preserve">Conducted risk assessments and reporting </w:t>
      </w:r>
    </w:p>
    <w:p>
      <w:pPr>
        <w:pStyle w:val="ListParagraph"/>
        <w:numPr>
          <w:ilvl w:val="0"/>
          <w:numId w:val="10"/>
        </w:numPr>
        <w:rPr/>
      </w:pPr>
      <w:r>
        <w:rPr/>
        <w:t xml:space="preserve">Managed server shutdown and decommissioning </w:t>
      </w:r>
    </w:p>
    <w:p>
      <w:pPr>
        <w:pStyle w:val="ListParagraph"/>
        <w:numPr>
          <w:ilvl w:val="0"/>
          <w:numId w:val="10"/>
        </w:numPr>
        <w:rPr/>
      </w:pPr>
      <w:r>
        <w:rPr/>
        <w:t xml:space="preserve">Removed systems from NIS+, DNS, Patrol, and Nagios </w:t>
      </w:r>
    </w:p>
    <w:p>
      <w:pPr>
        <w:pStyle w:val="ListParagraph"/>
        <w:numPr>
          <w:ilvl w:val="0"/>
          <w:numId w:val="10"/>
        </w:numPr>
        <w:rPr/>
      </w:pPr>
      <w:r>
        <w:rPr/>
        <w:t xml:space="preserve">Migrated remote console access from Telnet to SSH </w:t>
      </w:r>
    </w:p>
    <w:p>
      <w:pPr>
        <w:pStyle w:val="Normal"/>
        <w:rPr/>
      </w:pPr>
      <w:r>
        <w:rPr>
          <w:b/>
          <w:bCs/>
        </w:rPr>
        <w:t>Main Skills:</w:t>
      </w:r>
      <w:r>
        <w:rPr/>
        <w:br/>
        <w:t>Solaris 10, Jumpstart, Nagios, BMC Patrol, Banking Compliance, Migration</w:t>
      </w:r>
    </w:p>
    <w:p>
      <w:pPr>
        <w:pStyle w:val="Normal"/>
        <w:rPr/>
      </w:pPr>
      <w:r>
        <w:rPr/>
        <mc:AlternateContent>
          <mc:Choice Requires="wps">
            <w:drawing>
              <wp:inline distT="0" distB="0" distL="0" distR="0">
                <wp:extent cx="5731510" cy="19050"/>
                <wp:effectExtent l="0" t="0" r="0" b="0"/>
                <wp:docPr id="16" name="Shape16"/>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Unix Administrator — BT / Computacenter, Bolton</w:t>
      </w:r>
    </w:p>
    <w:p>
      <w:pPr>
        <w:pStyle w:val="Normal"/>
        <w:rPr/>
      </w:pPr>
      <w:r>
        <w:rPr>
          <w:b/>
          <w:bCs/>
        </w:rPr>
        <w:t>Feb 2009 – Mar 2009 (2 Weeks)</w:t>
      </w:r>
    </w:p>
    <w:p>
      <w:pPr>
        <w:pStyle w:val="Normal"/>
        <w:rPr/>
      </w:pPr>
      <w:r>
        <w:rPr/>
        <w:t>Short-term implementation support contract.</w:t>
      </w:r>
    </w:p>
    <w:p>
      <w:pPr>
        <w:pStyle w:val="Normal"/>
        <w:rPr>
          <w:b/>
          <w:bCs/>
        </w:rPr>
      </w:pPr>
      <w:r>
        <w:rPr>
          <w:b/>
          <w:bCs/>
        </w:rPr>
        <w:t>Responsibilities</w:t>
      </w:r>
    </w:p>
    <w:p>
      <w:pPr>
        <w:pStyle w:val="ListParagraph"/>
        <w:numPr>
          <w:ilvl w:val="0"/>
          <w:numId w:val="11"/>
        </w:numPr>
        <w:rPr/>
      </w:pPr>
      <w:r>
        <w:rPr/>
        <w:t xml:space="preserve">Troubleshot NTP, DNS, SSH, and account configuration issues </w:t>
      </w:r>
    </w:p>
    <w:p>
      <w:pPr>
        <w:pStyle w:val="ListParagraph"/>
        <w:numPr>
          <w:ilvl w:val="0"/>
          <w:numId w:val="11"/>
        </w:numPr>
        <w:rPr/>
      </w:pPr>
      <w:r>
        <w:rPr/>
        <w:t xml:space="preserve">Distributed SSH keys across HP-UX Control-M systems </w:t>
      </w:r>
    </w:p>
    <w:p>
      <w:pPr>
        <w:pStyle w:val="ListParagraph"/>
        <w:numPr>
          <w:ilvl w:val="0"/>
          <w:numId w:val="11"/>
        </w:numPr>
        <w:rPr/>
      </w:pPr>
      <w:r>
        <w:rPr/>
        <w:t xml:space="preserve">Developed shell scripts for automated SFTP housekeeping </w:t>
      </w:r>
    </w:p>
    <w:p>
      <w:pPr>
        <w:pStyle w:val="Normal"/>
        <w:rPr/>
      </w:pPr>
      <w:r>
        <w:rPr>
          <w:b/>
          <w:bCs/>
        </w:rPr>
        <w:t>Main Skills:</w:t>
      </w:r>
      <w:r>
        <w:rPr/>
        <w:br/>
        <w:t>UNIX Administration, System Builds, Configuration</w:t>
      </w:r>
    </w:p>
    <w:p>
      <w:pPr>
        <w:pStyle w:val="Normal"/>
        <w:rPr/>
      </w:pPr>
      <w:r>
        <w:rPr/>
        <mc:AlternateContent>
          <mc:Choice Requires="wps">
            <w:drawing>
              <wp:inline distT="0" distB="0" distL="0" distR="0">
                <wp:extent cx="5731510" cy="19050"/>
                <wp:effectExtent l="0" t="0" r="0" b="0"/>
                <wp:docPr id="17" name="Shape17"/>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Unix Systems Administrator — TNT Express (1st Contract)</w:t>
      </w:r>
    </w:p>
    <w:p>
      <w:pPr>
        <w:pStyle w:val="Normal"/>
        <w:rPr/>
      </w:pPr>
      <w:r>
        <w:rPr>
          <w:b/>
          <w:bCs/>
        </w:rPr>
        <w:t>Mar 2007 – Jan 2009 (1 Year 9 Months)</w:t>
      </w:r>
    </w:p>
    <w:p>
      <w:pPr>
        <w:pStyle w:val="Normal"/>
        <w:rPr/>
      </w:pPr>
      <w:r>
        <w:rPr/>
        <w:t>Supported Solaris 9/10 SAP/Oracle back-office environments.</w:t>
      </w:r>
    </w:p>
    <w:p>
      <w:pPr>
        <w:pStyle w:val="Normal"/>
        <w:rPr>
          <w:b/>
          <w:bCs/>
        </w:rPr>
      </w:pPr>
      <w:r>
        <w:rPr>
          <w:b/>
          <w:bCs/>
        </w:rPr>
        <w:t>Responsibilities</w:t>
      </w:r>
    </w:p>
    <w:p>
      <w:pPr>
        <w:pStyle w:val="ListParagraph"/>
        <w:numPr>
          <w:ilvl w:val="0"/>
          <w:numId w:val="1"/>
        </w:numPr>
        <w:rPr/>
      </w:pPr>
      <w:r>
        <w:rPr/>
        <w:t xml:space="preserve">Built and commissioned Sun4v systems </w:t>
      </w:r>
    </w:p>
    <w:p>
      <w:pPr>
        <w:pStyle w:val="ListParagraph"/>
        <w:numPr>
          <w:ilvl w:val="0"/>
          <w:numId w:val="1"/>
        </w:numPr>
        <w:rPr/>
      </w:pPr>
      <w:r>
        <w:rPr/>
        <w:t xml:space="preserve">Maintained Jumpstart infrastructure </w:t>
      </w:r>
    </w:p>
    <w:p>
      <w:pPr>
        <w:pStyle w:val="ListParagraph"/>
        <w:numPr>
          <w:ilvl w:val="0"/>
          <w:numId w:val="1"/>
        </w:numPr>
        <w:rPr/>
      </w:pPr>
      <w:r>
        <w:rPr/>
        <w:t xml:space="preserve">Automated server build processes </w:t>
      </w:r>
    </w:p>
    <w:p>
      <w:pPr>
        <w:pStyle w:val="ListParagraph"/>
        <w:numPr>
          <w:ilvl w:val="0"/>
          <w:numId w:val="1"/>
        </w:numPr>
        <w:rPr/>
      </w:pPr>
      <w:r>
        <w:rPr/>
        <w:t xml:space="preserve">Developed centralised configuration management solutions </w:t>
      </w:r>
    </w:p>
    <w:p>
      <w:pPr>
        <w:pStyle w:val="ListParagraph"/>
        <w:numPr>
          <w:ilvl w:val="0"/>
          <w:numId w:val="1"/>
        </w:numPr>
        <w:rPr/>
      </w:pPr>
      <w:r>
        <w:rPr/>
        <w:t xml:space="preserve">Supported LDAP, UNIX, NetBackup, NAS storage, and Veritas Volume Manager </w:t>
      </w:r>
    </w:p>
    <w:p>
      <w:pPr>
        <w:pStyle w:val="ListParagraph"/>
        <w:numPr>
          <w:ilvl w:val="0"/>
          <w:numId w:val="1"/>
        </w:numPr>
        <w:rPr/>
      </w:pPr>
      <w:r>
        <w:rPr/>
        <w:t xml:space="preserve">Conducted DR testing </w:t>
      </w:r>
    </w:p>
    <w:p>
      <w:pPr>
        <w:pStyle w:val="Normal"/>
        <w:rPr/>
      </w:pPr>
      <w:r>
        <w:rPr>
          <w:b/>
          <w:bCs/>
        </w:rPr>
        <w:t>Main Skills:</w:t>
      </w:r>
      <w:r>
        <w:rPr/>
        <w:br/>
        <w:t>Solaris 9/10, Jumpstart, Volume Manager, SDS, DR Testing</w:t>
      </w:r>
    </w:p>
    <w:p>
      <w:pPr>
        <w:pStyle w:val="Normal"/>
        <w:rPr/>
      </w:pPr>
      <w:r>
        <w:rPr/>
        <mc:AlternateContent>
          <mc:Choice Requires="wps">
            <w:drawing>
              <wp:inline distT="0" distB="0" distL="0" distR="0">
                <wp:extent cx="5731510" cy="19050"/>
                <wp:effectExtent l="0" t="0" r="0" b="0"/>
                <wp:docPr id="18" name="Shape18"/>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Unix Systems Administrator — AAH Pharmaceuticals, Coventry</w:t>
      </w:r>
    </w:p>
    <w:p>
      <w:pPr>
        <w:pStyle w:val="Normal"/>
        <w:rPr/>
      </w:pPr>
      <w:r>
        <w:rPr>
          <w:b/>
          <w:bCs/>
        </w:rPr>
        <w:t>Jan 2007 – Feb 2007 (1 Month)</w:t>
      </w:r>
    </w:p>
    <w:p>
      <w:pPr>
        <w:pStyle w:val="Normal"/>
        <w:rPr/>
      </w:pPr>
      <w:r>
        <w:rPr/>
        <w:t>Performed technical audits across mixed Unix and Linux environments.</w:t>
      </w:r>
    </w:p>
    <w:p>
      <w:pPr>
        <w:pStyle w:val="Normal"/>
        <w:rPr/>
      </w:pPr>
      <w:r>
        <w:rPr/>
        <mc:AlternateContent>
          <mc:Choice Requires="wps">
            <w:drawing>
              <wp:inline distT="0" distB="0" distL="0" distR="0">
                <wp:extent cx="5731510" cy="19050"/>
                <wp:effectExtent l="0" t="0" r="0" b="0"/>
                <wp:docPr id="19" name="Shape19"/>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Unix Systems Administrator — Britannia Building Society, Leek</w:t>
      </w:r>
    </w:p>
    <w:p>
      <w:pPr>
        <w:pStyle w:val="Normal"/>
        <w:rPr/>
      </w:pPr>
      <w:r>
        <w:rPr>
          <w:b/>
          <w:bCs/>
        </w:rPr>
        <w:t>Apr 2006 – Dec 2006 (8 Months)</w:t>
      </w:r>
    </w:p>
    <w:p>
      <w:pPr>
        <w:pStyle w:val="Normal"/>
        <w:rPr/>
      </w:pPr>
      <w:r>
        <w:rPr/>
        <w:t>Provided second-line UNIX support across Solaris and Red Hat Linux infrastructure.</w:t>
      </w:r>
    </w:p>
    <w:p>
      <w:pPr>
        <w:pStyle w:val="Normal"/>
        <w:rPr>
          <w:b/>
          <w:bCs/>
        </w:rPr>
      </w:pPr>
      <w:r>
        <w:rPr>
          <w:b/>
          <w:bCs/>
        </w:rPr>
        <w:t>Responsibilities</w:t>
      </w:r>
    </w:p>
    <w:p>
      <w:pPr>
        <w:pStyle w:val="ListParagraph"/>
        <w:numPr>
          <w:ilvl w:val="0"/>
          <w:numId w:val="12"/>
        </w:numPr>
        <w:rPr/>
      </w:pPr>
      <w:r>
        <w:rPr/>
        <w:t xml:space="preserve">Supported Veritas NetBackup and Volume Manager </w:t>
      </w:r>
    </w:p>
    <w:p>
      <w:pPr>
        <w:pStyle w:val="ListParagraph"/>
        <w:numPr>
          <w:ilvl w:val="0"/>
          <w:numId w:val="12"/>
        </w:numPr>
        <w:rPr/>
      </w:pPr>
      <w:r>
        <w:rPr/>
        <w:t xml:space="preserve">Maintained Netscape/Sun ONE mail platform </w:t>
      </w:r>
    </w:p>
    <w:p>
      <w:pPr>
        <w:pStyle w:val="ListParagraph"/>
        <w:numPr>
          <w:ilvl w:val="0"/>
          <w:numId w:val="12"/>
        </w:numPr>
        <w:rPr/>
      </w:pPr>
      <w:r>
        <w:rPr/>
        <w:t xml:space="preserve">Supported legacy T3 storage systems </w:t>
      </w:r>
    </w:p>
    <w:p>
      <w:pPr>
        <w:pStyle w:val="ListParagraph"/>
        <w:numPr>
          <w:ilvl w:val="0"/>
          <w:numId w:val="12"/>
        </w:numPr>
        <w:rPr/>
      </w:pPr>
      <w:r>
        <w:rPr/>
        <w:t>Supported Sun E10K decommissioning after migration to Linux.</w:t>
      </w:r>
    </w:p>
    <w:p>
      <w:pPr>
        <w:pStyle w:val="Normal"/>
        <w:rPr/>
      </w:pPr>
      <w:r>
        <w:rPr/>
        <mc:AlternateContent>
          <mc:Choice Requires="wps">
            <w:drawing>
              <wp:inline distT="0" distB="0" distL="0" distR="0">
                <wp:extent cx="5731510" cy="19050"/>
                <wp:effectExtent l="0" t="0" r="0" b="0"/>
                <wp:docPr id="20" name="Shape20"/>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Unix Systems Administrator — European Central Bank, Frankfurt</w:t>
      </w:r>
    </w:p>
    <w:p>
      <w:pPr>
        <w:pStyle w:val="Normal"/>
        <w:rPr/>
      </w:pPr>
      <w:r>
        <w:rPr>
          <w:b/>
          <w:bCs/>
        </w:rPr>
        <w:t>May 2005 – Apr 2006 (1 Year)</w:t>
      </w:r>
    </w:p>
    <w:p>
      <w:pPr>
        <w:pStyle w:val="Normal"/>
        <w:rPr/>
      </w:pPr>
      <w:r>
        <w:rPr/>
        <w:t>Delivered second-line Solaris support and project work.</w:t>
      </w:r>
    </w:p>
    <w:p>
      <w:pPr>
        <w:pStyle w:val="Normal"/>
        <w:rPr>
          <w:b/>
          <w:bCs/>
        </w:rPr>
      </w:pPr>
      <w:r>
        <w:rPr>
          <w:b/>
          <w:bCs/>
        </w:rPr>
        <w:t>Responsibilities</w:t>
      </w:r>
    </w:p>
    <w:p>
      <w:pPr>
        <w:pStyle w:val="ListParagraph"/>
        <w:numPr>
          <w:ilvl w:val="0"/>
          <w:numId w:val="13"/>
        </w:numPr>
        <w:rPr/>
      </w:pPr>
      <w:r>
        <w:rPr/>
        <w:t xml:space="preserve">Supported NIS+, Veritas Volume Manager, and DiskSuite </w:t>
      </w:r>
    </w:p>
    <w:p>
      <w:pPr>
        <w:pStyle w:val="ListParagraph"/>
        <w:numPr>
          <w:ilvl w:val="0"/>
          <w:numId w:val="13"/>
        </w:numPr>
        <w:rPr/>
      </w:pPr>
      <w:r>
        <w:rPr/>
        <w:t xml:space="preserve">Supported bespoke applications and web servers </w:t>
      </w:r>
    </w:p>
    <w:p>
      <w:pPr>
        <w:pStyle w:val="ListParagraph"/>
        <w:numPr>
          <w:ilvl w:val="0"/>
          <w:numId w:val="13"/>
        </w:numPr>
        <w:rPr/>
      </w:pPr>
      <w:r>
        <w:rPr/>
        <w:t xml:space="preserve">Facilitated hardware replacement activity </w:t>
      </w:r>
    </w:p>
    <w:p>
      <w:pPr>
        <w:pStyle w:val="ListParagraph"/>
        <w:numPr>
          <w:ilvl w:val="0"/>
          <w:numId w:val="13"/>
        </w:numPr>
        <w:rPr/>
      </w:pPr>
      <w:r>
        <w:rPr/>
        <w:t xml:space="preserve">Supported Reuters feed Sybase infrastructure within the Bundesbank </w:t>
      </w:r>
    </w:p>
    <w:p>
      <w:pPr>
        <w:pStyle w:val="Normal"/>
        <w:rPr/>
      </w:pPr>
      <w:r>
        <w:rPr/>
        <mc:AlternateContent>
          <mc:Choice Requires="wps">
            <w:drawing>
              <wp:inline distT="0" distB="0" distL="0" distR="0">
                <wp:extent cx="5731510" cy="19050"/>
                <wp:effectExtent l="0" t="0" r="0" b="0"/>
                <wp:docPr id="21" name="Shape21"/>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Unix Systems Integrator — Vivista, Wiltshire</w:t>
      </w:r>
    </w:p>
    <w:p>
      <w:pPr>
        <w:pStyle w:val="Normal"/>
        <w:rPr/>
      </w:pPr>
      <w:r>
        <w:rPr>
          <w:b/>
          <w:bCs/>
        </w:rPr>
        <w:t>Sep 2004 – May 2005 (8 Months)</w:t>
      </w:r>
    </w:p>
    <w:p>
      <w:pPr>
        <w:pStyle w:val="Normal"/>
        <w:rPr/>
      </w:pPr>
      <w:r>
        <w:rPr/>
        <w:t>Customer-facing systems integration role within secure government environments.</w:t>
      </w:r>
    </w:p>
    <w:p>
      <w:pPr>
        <w:pStyle w:val="Normal"/>
        <w:rPr>
          <w:b/>
          <w:bCs/>
        </w:rPr>
      </w:pPr>
      <w:r>
        <w:rPr>
          <w:b/>
          <w:bCs/>
        </w:rPr>
        <w:t>Responsibilities</w:t>
      </w:r>
    </w:p>
    <w:p>
      <w:pPr>
        <w:pStyle w:val="ListParagraph"/>
        <w:numPr>
          <w:ilvl w:val="0"/>
          <w:numId w:val="14"/>
        </w:numPr>
        <w:rPr/>
      </w:pPr>
      <w:r>
        <w:rPr/>
        <w:t xml:space="preserve">Built and deployed secure systems and applications </w:t>
      </w:r>
    </w:p>
    <w:p>
      <w:pPr>
        <w:pStyle w:val="ListParagraph"/>
        <w:numPr>
          <w:ilvl w:val="0"/>
          <w:numId w:val="14"/>
        </w:numPr>
        <w:rPr/>
      </w:pPr>
      <w:r>
        <w:rPr/>
        <w:t xml:space="preserve">Conducted site surveys and installations </w:t>
      </w:r>
    </w:p>
    <w:p>
      <w:pPr>
        <w:pStyle w:val="ListParagraph"/>
        <w:numPr>
          <w:ilvl w:val="0"/>
          <w:numId w:val="14"/>
        </w:numPr>
        <w:rPr/>
      </w:pPr>
      <w:r>
        <w:rPr/>
        <w:t xml:space="preserve">Worked onsite with Durham Police HQ and custody suites </w:t>
      </w:r>
    </w:p>
    <w:p>
      <w:pPr>
        <w:pStyle w:val="ListParagraph"/>
        <w:numPr>
          <w:ilvl w:val="0"/>
          <w:numId w:val="14"/>
        </w:numPr>
        <w:rPr/>
      </w:pPr>
      <w:r>
        <w:rPr/>
        <w:t xml:space="preserve">Delivered implementations under strict timelines </w:t>
      </w:r>
    </w:p>
    <w:p>
      <w:pPr>
        <w:pStyle w:val="Normal"/>
        <w:rPr/>
      </w:pPr>
      <w:r>
        <w:rPr/>
        <mc:AlternateContent>
          <mc:Choice Requires="wps">
            <w:drawing>
              <wp:inline distT="0" distB="0" distL="0" distR="0">
                <wp:extent cx="5731510" cy="19050"/>
                <wp:effectExtent l="0" t="0" r="0" b="0"/>
                <wp:docPr id="22" name="Shape22"/>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vertical:top">
                <v:fill o:detectmouseclick="t" type="solid" color2="#5f5f5f"/>
                <v:stroke color="#3465a4" joinstyle="round" endcap="flat"/>
                <w10:wrap type="square"/>
              </v:rect>
            </w:pict>
          </mc:Fallback>
        </mc:AlternateContent>
      </w:r>
    </w:p>
    <w:p>
      <w:pPr>
        <w:pStyle w:val="Normal"/>
        <w:rPr>
          <w:b/>
          <w:bCs/>
        </w:rPr>
      </w:pPr>
      <w:r>
        <w:rPr>
          <w:b/>
          <w:bCs/>
        </w:rPr>
        <w:t>Earlier Career History</w:t>
      </w:r>
    </w:p>
    <w:tbl>
      <w:tblPr>
        <w:tblW w:w="7807" w:type="dxa"/>
        <w:jc w:val="start"/>
        <w:tblInd w:w="0" w:type="dxa"/>
        <w:tblLayout w:type="fixed"/>
        <w:tblCellMar>
          <w:top w:w="15" w:type="dxa"/>
          <w:start w:w="15" w:type="dxa"/>
          <w:bottom w:w="15" w:type="dxa"/>
          <w:end w:w="15" w:type="dxa"/>
        </w:tblCellMar>
        <w:tblLook w:val="04a0" w:noVBand="1" w:noHBand="0" w:lastColumn="0" w:firstColumn="1" w:lastRow="0" w:firstRow="1"/>
      </w:tblPr>
      <w:tblGrid>
        <w:gridCol w:w="1793"/>
        <w:gridCol w:w="1898"/>
        <w:gridCol w:w="2321"/>
        <w:gridCol w:w="1795"/>
      </w:tblGrid>
      <w:tr>
        <w:trPr>
          <w:tblHeader w:val="true"/>
        </w:trPr>
        <w:tc>
          <w:tcPr>
            <w:tcW w:w="1793" w:type="dxa"/>
            <w:tcBorders/>
            <w:vAlign w:val="center"/>
          </w:tcPr>
          <w:p>
            <w:pPr>
              <w:pStyle w:val="Normal"/>
              <w:spacing w:before="0" w:after="160"/>
              <w:rPr>
                <w:b/>
                <w:bCs/>
              </w:rPr>
            </w:pPr>
            <w:r>
              <w:rPr>
                <w:b/>
                <w:bCs/>
              </w:rPr>
              <w:t>Dates</w:t>
            </w:r>
          </w:p>
        </w:tc>
        <w:tc>
          <w:tcPr>
            <w:tcW w:w="1898" w:type="dxa"/>
            <w:tcBorders/>
            <w:vAlign w:val="center"/>
          </w:tcPr>
          <w:p>
            <w:pPr>
              <w:pStyle w:val="Normal"/>
              <w:spacing w:before="0" w:after="160"/>
              <w:rPr>
                <w:b/>
                <w:bCs/>
              </w:rPr>
            </w:pPr>
            <w:r>
              <w:rPr>
                <w:b/>
                <w:bCs/>
              </w:rPr>
              <w:t>Role</w:t>
            </w:r>
          </w:p>
        </w:tc>
        <w:tc>
          <w:tcPr>
            <w:tcW w:w="2321" w:type="dxa"/>
            <w:tcBorders/>
            <w:vAlign w:val="center"/>
          </w:tcPr>
          <w:p>
            <w:pPr>
              <w:pStyle w:val="Normal"/>
              <w:spacing w:before="0" w:after="160"/>
              <w:rPr>
                <w:b/>
                <w:bCs/>
              </w:rPr>
            </w:pPr>
            <w:r>
              <w:rPr>
                <w:b/>
                <w:bCs/>
              </w:rPr>
              <w:t>Organisation</w:t>
            </w:r>
          </w:p>
        </w:tc>
        <w:tc>
          <w:tcPr>
            <w:tcW w:w="1795" w:type="dxa"/>
            <w:tcBorders/>
            <w:vAlign w:val="center"/>
          </w:tcPr>
          <w:p>
            <w:pPr>
              <w:pStyle w:val="Normal"/>
              <w:spacing w:before="0" w:after="160"/>
              <w:rPr>
                <w:b/>
                <w:bCs/>
              </w:rPr>
            </w:pPr>
            <w:r>
              <w:rPr>
                <w:b/>
                <w:bCs/>
              </w:rPr>
              <w:t>Location</w:t>
            </w:r>
          </w:p>
        </w:tc>
      </w:tr>
      <w:tr>
        <w:trPr/>
        <w:tc>
          <w:tcPr>
            <w:tcW w:w="1793" w:type="dxa"/>
            <w:tcBorders/>
            <w:vAlign w:val="center"/>
          </w:tcPr>
          <w:p>
            <w:pPr>
              <w:pStyle w:val="Normal"/>
              <w:widowControl/>
              <w:bidi w:val="0"/>
              <w:spacing w:lineRule="auto" w:line="259" w:before="0" w:after="160"/>
              <w:jc w:val="start"/>
              <w:rPr/>
            </w:pPr>
            <w:r>
              <w:rPr/>
              <w:t>12/2003 – 09/2004</w:t>
            </w:r>
          </w:p>
        </w:tc>
        <w:tc>
          <w:tcPr>
            <w:tcW w:w="1898" w:type="dxa"/>
            <w:tcBorders/>
            <w:vAlign w:val="center"/>
          </w:tcPr>
          <w:p>
            <w:pPr>
              <w:pStyle w:val="Normal"/>
              <w:widowControl/>
              <w:bidi w:val="0"/>
              <w:spacing w:lineRule="auto" w:line="259" w:before="0" w:after="160"/>
              <w:jc w:val="start"/>
              <w:rPr/>
            </w:pPr>
            <w:r>
              <w:rPr/>
              <w:t>Systems Engineer</w:t>
            </w:r>
          </w:p>
        </w:tc>
        <w:tc>
          <w:tcPr>
            <w:tcW w:w="2321" w:type="dxa"/>
            <w:tcBorders/>
            <w:vAlign w:val="center"/>
          </w:tcPr>
          <w:p>
            <w:pPr>
              <w:pStyle w:val="Normal"/>
              <w:widowControl/>
              <w:bidi w:val="0"/>
              <w:spacing w:lineRule="auto" w:line="259" w:before="0" w:after="160"/>
              <w:jc w:val="start"/>
              <w:rPr/>
            </w:pPr>
            <w:r>
              <w:rPr/>
              <w:t>ITS-Linux</w:t>
            </w:r>
          </w:p>
        </w:tc>
        <w:tc>
          <w:tcPr>
            <w:tcW w:w="1795" w:type="dxa"/>
            <w:tcBorders/>
            <w:vAlign w:val="center"/>
          </w:tcPr>
          <w:p>
            <w:pPr>
              <w:pStyle w:val="Normal"/>
              <w:widowControl/>
              <w:bidi w:val="0"/>
              <w:spacing w:lineRule="auto" w:line="259" w:before="0" w:after="160"/>
              <w:jc w:val="start"/>
              <w:rPr/>
            </w:pPr>
            <w:r>
              <w:rPr/>
              <w:t>Crewe</w:t>
            </w:r>
          </w:p>
        </w:tc>
      </w:tr>
      <w:tr>
        <w:trPr/>
        <w:tc>
          <w:tcPr>
            <w:tcW w:w="1793" w:type="dxa"/>
            <w:tcBorders/>
            <w:vAlign w:val="center"/>
          </w:tcPr>
          <w:p>
            <w:pPr>
              <w:pStyle w:val="Normal"/>
              <w:widowControl/>
              <w:bidi w:val="0"/>
              <w:spacing w:lineRule="auto" w:line="259" w:before="0" w:after="160"/>
              <w:jc w:val="start"/>
              <w:rPr/>
            </w:pPr>
            <w:r>
              <w:rPr/>
              <w:t>07/2003 – 12/2003</w:t>
            </w:r>
          </w:p>
        </w:tc>
        <w:tc>
          <w:tcPr>
            <w:tcW w:w="1898" w:type="dxa"/>
            <w:tcBorders/>
            <w:vAlign w:val="center"/>
          </w:tcPr>
          <w:p>
            <w:pPr>
              <w:pStyle w:val="Normal"/>
              <w:widowControl/>
              <w:bidi w:val="0"/>
              <w:spacing w:lineRule="auto" w:line="259" w:before="0" w:after="160"/>
              <w:jc w:val="start"/>
              <w:rPr/>
            </w:pPr>
            <w:r>
              <w:rPr/>
              <w:t>Unix Administrator</w:t>
            </w:r>
          </w:p>
        </w:tc>
        <w:tc>
          <w:tcPr>
            <w:tcW w:w="2321" w:type="dxa"/>
            <w:tcBorders/>
            <w:vAlign w:val="center"/>
          </w:tcPr>
          <w:p>
            <w:pPr>
              <w:pStyle w:val="Normal"/>
              <w:widowControl/>
              <w:bidi w:val="0"/>
              <w:spacing w:lineRule="auto" w:line="259" w:before="0" w:after="160"/>
              <w:jc w:val="start"/>
              <w:rPr/>
            </w:pPr>
            <w:r>
              <w:rPr/>
              <w:t>Pindar</w:t>
            </w:r>
          </w:p>
        </w:tc>
        <w:tc>
          <w:tcPr>
            <w:tcW w:w="1795" w:type="dxa"/>
            <w:tcBorders/>
            <w:vAlign w:val="center"/>
          </w:tcPr>
          <w:p>
            <w:pPr>
              <w:pStyle w:val="Normal"/>
              <w:widowControl/>
              <w:bidi w:val="0"/>
              <w:spacing w:lineRule="auto" w:line="259" w:before="0" w:after="160"/>
              <w:jc w:val="start"/>
              <w:rPr/>
            </w:pPr>
            <w:r>
              <w:rPr/>
              <w:t>Scarborough</w:t>
            </w:r>
          </w:p>
        </w:tc>
      </w:tr>
      <w:tr>
        <w:trPr/>
        <w:tc>
          <w:tcPr>
            <w:tcW w:w="1793" w:type="dxa"/>
            <w:tcBorders/>
            <w:vAlign w:val="center"/>
          </w:tcPr>
          <w:p>
            <w:pPr>
              <w:pStyle w:val="Normal"/>
              <w:widowControl/>
              <w:bidi w:val="0"/>
              <w:spacing w:lineRule="auto" w:line="259" w:before="0" w:after="160"/>
              <w:jc w:val="start"/>
              <w:rPr/>
            </w:pPr>
            <w:r>
              <w:rPr/>
              <w:t>03/2003 – 06/2003</w:t>
            </w:r>
          </w:p>
        </w:tc>
        <w:tc>
          <w:tcPr>
            <w:tcW w:w="1898" w:type="dxa"/>
            <w:tcBorders/>
            <w:vAlign w:val="center"/>
          </w:tcPr>
          <w:p>
            <w:pPr>
              <w:pStyle w:val="Normal"/>
              <w:widowControl/>
              <w:bidi w:val="0"/>
              <w:spacing w:lineRule="auto" w:line="259" w:before="0" w:after="160"/>
              <w:jc w:val="start"/>
              <w:rPr/>
            </w:pPr>
            <w:r>
              <w:rPr/>
              <w:t>Systems Engineer</w:t>
            </w:r>
          </w:p>
        </w:tc>
        <w:tc>
          <w:tcPr>
            <w:tcW w:w="2321" w:type="dxa"/>
            <w:tcBorders/>
            <w:vAlign w:val="center"/>
          </w:tcPr>
          <w:p>
            <w:pPr>
              <w:pStyle w:val="Normal"/>
              <w:widowControl/>
              <w:bidi w:val="0"/>
              <w:spacing w:lineRule="auto" w:line="259" w:before="0" w:after="160"/>
              <w:jc w:val="start"/>
              <w:rPr/>
            </w:pPr>
            <w:r>
              <w:rPr/>
              <w:t>ITS-Linux</w:t>
            </w:r>
          </w:p>
        </w:tc>
        <w:tc>
          <w:tcPr>
            <w:tcW w:w="1795" w:type="dxa"/>
            <w:tcBorders/>
            <w:vAlign w:val="center"/>
          </w:tcPr>
          <w:p>
            <w:pPr>
              <w:pStyle w:val="Normal"/>
              <w:widowControl/>
              <w:bidi w:val="0"/>
              <w:spacing w:lineRule="auto" w:line="259" w:before="0" w:after="160"/>
              <w:jc w:val="start"/>
              <w:rPr/>
            </w:pPr>
            <w:r>
              <w:rPr/>
              <w:t>Crewe</w:t>
            </w:r>
          </w:p>
        </w:tc>
      </w:tr>
      <w:tr>
        <w:trPr/>
        <w:tc>
          <w:tcPr>
            <w:tcW w:w="1793" w:type="dxa"/>
            <w:tcBorders/>
            <w:vAlign w:val="center"/>
          </w:tcPr>
          <w:p>
            <w:pPr>
              <w:pStyle w:val="Normal"/>
              <w:widowControl/>
              <w:bidi w:val="0"/>
              <w:spacing w:lineRule="auto" w:line="259" w:before="0" w:after="160"/>
              <w:jc w:val="start"/>
              <w:rPr/>
            </w:pPr>
            <w:r>
              <w:rPr/>
              <w:t>08/2002 – 03/2003</w:t>
            </w:r>
          </w:p>
        </w:tc>
        <w:tc>
          <w:tcPr>
            <w:tcW w:w="1898" w:type="dxa"/>
            <w:tcBorders/>
            <w:vAlign w:val="center"/>
          </w:tcPr>
          <w:p>
            <w:pPr>
              <w:pStyle w:val="Normal"/>
              <w:widowControl/>
              <w:bidi w:val="0"/>
              <w:spacing w:lineRule="auto" w:line="259" w:before="0" w:after="160"/>
              <w:jc w:val="start"/>
              <w:rPr/>
            </w:pPr>
            <w:r>
              <w:rPr/>
              <w:t>Student</w:t>
            </w:r>
          </w:p>
        </w:tc>
        <w:tc>
          <w:tcPr>
            <w:tcW w:w="2321" w:type="dxa"/>
            <w:tcBorders/>
            <w:vAlign w:val="center"/>
          </w:tcPr>
          <w:p>
            <w:pPr>
              <w:pStyle w:val="Normal"/>
              <w:widowControl/>
              <w:bidi w:val="0"/>
              <w:spacing w:lineRule="auto" w:line="259" w:before="0" w:after="160"/>
              <w:jc w:val="start"/>
              <w:rPr/>
            </w:pPr>
            <w:r>
              <w:rPr/>
              <w:t>Düsseldorf University</w:t>
            </w:r>
          </w:p>
        </w:tc>
        <w:tc>
          <w:tcPr>
            <w:tcW w:w="1795" w:type="dxa"/>
            <w:tcBorders/>
            <w:vAlign w:val="center"/>
          </w:tcPr>
          <w:p>
            <w:pPr>
              <w:pStyle w:val="Normal"/>
              <w:widowControl/>
              <w:bidi w:val="0"/>
              <w:spacing w:lineRule="auto" w:line="259" w:before="0" w:after="160"/>
              <w:jc w:val="start"/>
              <w:rPr/>
            </w:pPr>
            <w:r>
              <w:rPr/>
              <w:t>Düsseldorf</w:t>
            </w:r>
          </w:p>
        </w:tc>
      </w:tr>
      <w:tr>
        <w:trPr/>
        <w:tc>
          <w:tcPr>
            <w:tcW w:w="1793" w:type="dxa"/>
            <w:tcBorders/>
            <w:vAlign w:val="center"/>
          </w:tcPr>
          <w:p>
            <w:pPr>
              <w:pStyle w:val="Normal"/>
              <w:widowControl/>
              <w:bidi w:val="0"/>
              <w:spacing w:lineRule="auto" w:line="259" w:before="0" w:after="160"/>
              <w:jc w:val="start"/>
              <w:rPr/>
            </w:pPr>
            <w:r>
              <w:rPr/>
              <w:t>10/2001 – 08/2002</w:t>
            </w:r>
          </w:p>
        </w:tc>
        <w:tc>
          <w:tcPr>
            <w:tcW w:w="1898" w:type="dxa"/>
            <w:tcBorders/>
            <w:vAlign w:val="center"/>
          </w:tcPr>
          <w:p>
            <w:pPr>
              <w:pStyle w:val="Normal"/>
              <w:widowControl/>
              <w:bidi w:val="0"/>
              <w:spacing w:lineRule="auto" w:line="259" w:before="0" w:after="160"/>
              <w:jc w:val="start"/>
              <w:rPr/>
            </w:pPr>
            <w:r>
              <w:rPr/>
              <w:t>Not Contracted</w:t>
            </w:r>
          </w:p>
        </w:tc>
        <w:tc>
          <w:tcPr>
            <w:tcW w:w="2321" w:type="dxa"/>
            <w:tcBorders/>
            <w:vAlign w:val="center"/>
          </w:tcPr>
          <w:p>
            <w:pPr>
              <w:pStyle w:val="Normal"/>
              <w:widowControl/>
              <w:bidi w:val="0"/>
              <w:spacing w:lineRule="auto" w:line="259" w:before="0" w:after="160"/>
              <w:jc w:val="start"/>
              <w:rPr/>
            </w:pPr>
            <w:r>
              <w:rPr/>
              <w:t>—</w:t>
            </w:r>
          </w:p>
        </w:tc>
        <w:tc>
          <w:tcPr>
            <w:tcW w:w="1795" w:type="dxa"/>
            <w:tcBorders/>
            <w:vAlign w:val="center"/>
          </w:tcPr>
          <w:p>
            <w:pPr>
              <w:pStyle w:val="Normal"/>
              <w:widowControl/>
              <w:bidi w:val="0"/>
              <w:spacing w:lineRule="auto" w:line="259" w:before="0" w:after="160"/>
              <w:jc w:val="start"/>
              <w:rPr/>
            </w:pPr>
            <w:r>
              <w:rPr/>
              <w:t>—</w:t>
            </w:r>
          </w:p>
        </w:tc>
      </w:tr>
      <w:tr>
        <w:trPr/>
        <w:tc>
          <w:tcPr>
            <w:tcW w:w="1793" w:type="dxa"/>
            <w:tcBorders/>
            <w:vAlign w:val="center"/>
          </w:tcPr>
          <w:p>
            <w:pPr>
              <w:pStyle w:val="Normal"/>
              <w:widowControl/>
              <w:bidi w:val="0"/>
              <w:spacing w:lineRule="auto" w:line="259" w:before="0" w:after="160"/>
              <w:jc w:val="start"/>
              <w:rPr/>
            </w:pPr>
            <w:r>
              <w:rPr/>
              <w:t>07/1999 – 10/2001</w:t>
            </w:r>
          </w:p>
        </w:tc>
        <w:tc>
          <w:tcPr>
            <w:tcW w:w="1898" w:type="dxa"/>
            <w:tcBorders/>
            <w:vAlign w:val="center"/>
          </w:tcPr>
          <w:p>
            <w:pPr>
              <w:pStyle w:val="Normal"/>
              <w:widowControl/>
              <w:bidi w:val="0"/>
              <w:spacing w:lineRule="auto" w:line="259" w:before="0" w:after="160"/>
              <w:jc w:val="start"/>
              <w:rPr/>
            </w:pPr>
            <w:r>
              <w:rPr/>
              <w:t>Unix Administrator</w:t>
            </w:r>
          </w:p>
        </w:tc>
        <w:tc>
          <w:tcPr>
            <w:tcW w:w="2321" w:type="dxa"/>
            <w:tcBorders/>
            <w:vAlign w:val="center"/>
          </w:tcPr>
          <w:p>
            <w:pPr>
              <w:pStyle w:val="Normal"/>
              <w:widowControl/>
              <w:bidi w:val="0"/>
              <w:spacing w:lineRule="auto" w:line="259" w:before="0" w:after="160"/>
              <w:jc w:val="start"/>
              <w:rPr/>
            </w:pPr>
            <w:r>
              <w:rPr/>
              <w:t>KPN Orange (Base)</w:t>
            </w:r>
          </w:p>
        </w:tc>
        <w:tc>
          <w:tcPr>
            <w:tcW w:w="1795" w:type="dxa"/>
            <w:tcBorders/>
            <w:vAlign w:val="center"/>
          </w:tcPr>
          <w:p>
            <w:pPr>
              <w:pStyle w:val="Normal"/>
              <w:widowControl/>
              <w:bidi w:val="0"/>
              <w:spacing w:lineRule="auto" w:line="259" w:before="0" w:after="160"/>
              <w:jc w:val="start"/>
              <w:rPr/>
            </w:pPr>
            <w:r>
              <w:rPr/>
              <w:t>Brussels</w:t>
            </w:r>
          </w:p>
        </w:tc>
      </w:tr>
      <w:tr>
        <w:trPr/>
        <w:tc>
          <w:tcPr>
            <w:tcW w:w="1793" w:type="dxa"/>
            <w:tcBorders/>
            <w:vAlign w:val="center"/>
          </w:tcPr>
          <w:p>
            <w:pPr>
              <w:pStyle w:val="Normal"/>
              <w:widowControl/>
              <w:bidi w:val="0"/>
              <w:spacing w:lineRule="auto" w:line="259" w:before="0" w:after="160"/>
              <w:jc w:val="start"/>
              <w:rPr/>
            </w:pPr>
            <w:r>
              <w:rPr/>
              <w:t>05/1999 – 06/1999</w:t>
            </w:r>
          </w:p>
        </w:tc>
        <w:tc>
          <w:tcPr>
            <w:tcW w:w="1898" w:type="dxa"/>
            <w:tcBorders/>
            <w:vAlign w:val="center"/>
          </w:tcPr>
          <w:p>
            <w:pPr>
              <w:pStyle w:val="Normal"/>
              <w:widowControl/>
              <w:bidi w:val="0"/>
              <w:spacing w:lineRule="auto" w:line="259" w:before="0" w:after="160"/>
              <w:jc w:val="start"/>
              <w:rPr/>
            </w:pPr>
            <w:r>
              <w:rPr/>
              <w:t>Unix Administrator</w:t>
            </w:r>
          </w:p>
        </w:tc>
        <w:tc>
          <w:tcPr>
            <w:tcW w:w="2321" w:type="dxa"/>
            <w:tcBorders/>
            <w:vAlign w:val="center"/>
          </w:tcPr>
          <w:p>
            <w:pPr>
              <w:pStyle w:val="Normal"/>
              <w:widowControl/>
              <w:bidi w:val="0"/>
              <w:spacing w:lineRule="auto" w:line="259" w:before="0" w:after="160"/>
              <w:jc w:val="start"/>
              <w:rPr/>
            </w:pPr>
            <w:r>
              <w:rPr/>
              <w:t>Alenia Marconi</w:t>
            </w:r>
          </w:p>
        </w:tc>
        <w:tc>
          <w:tcPr>
            <w:tcW w:w="1795" w:type="dxa"/>
            <w:tcBorders/>
            <w:vAlign w:val="center"/>
          </w:tcPr>
          <w:p>
            <w:pPr>
              <w:pStyle w:val="Normal"/>
              <w:widowControl/>
              <w:bidi w:val="0"/>
              <w:spacing w:lineRule="auto" w:line="259" w:before="0" w:after="160"/>
              <w:jc w:val="start"/>
              <w:rPr/>
            </w:pPr>
            <w:r>
              <w:rPr/>
              <w:t>Stanmore</w:t>
            </w:r>
          </w:p>
        </w:tc>
      </w:tr>
      <w:tr>
        <w:trPr/>
        <w:tc>
          <w:tcPr>
            <w:tcW w:w="1793" w:type="dxa"/>
            <w:tcBorders/>
            <w:vAlign w:val="center"/>
          </w:tcPr>
          <w:p>
            <w:pPr>
              <w:pStyle w:val="Normal"/>
              <w:widowControl/>
              <w:bidi w:val="0"/>
              <w:spacing w:lineRule="auto" w:line="259" w:before="0" w:after="160"/>
              <w:jc w:val="start"/>
              <w:rPr/>
            </w:pPr>
            <w:r>
              <w:rPr/>
              <w:t>12/1998 – 05/1999</w:t>
            </w:r>
          </w:p>
        </w:tc>
        <w:tc>
          <w:tcPr>
            <w:tcW w:w="1898" w:type="dxa"/>
            <w:tcBorders/>
            <w:vAlign w:val="center"/>
          </w:tcPr>
          <w:p>
            <w:pPr>
              <w:pStyle w:val="Normal"/>
              <w:widowControl/>
              <w:bidi w:val="0"/>
              <w:spacing w:lineRule="auto" w:line="259" w:before="0" w:after="160"/>
              <w:jc w:val="start"/>
              <w:rPr/>
            </w:pPr>
            <w:r>
              <w:rPr/>
              <w:t>Unix Administrator</w:t>
            </w:r>
          </w:p>
        </w:tc>
        <w:tc>
          <w:tcPr>
            <w:tcW w:w="2321" w:type="dxa"/>
            <w:tcBorders/>
            <w:vAlign w:val="center"/>
          </w:tcPr>
          <w:p>
            <w:pPr>
              <w:pStyle w:val="Normal"/>
              <w:widowControl/>
              <w:bidi w:val="0"/>
              <w:spacing w:lineRule="auto" w:line="259" w:before="0" w:after="160"/>
              <w:jc w:val="start"/>
              <w:rPr/>
            </w:pPr>
            <w:r>
              <w:rPr/>
              <w:t>Synopsys</w:t>
            </w:r>
          </w:p>
        </w:tc>
        <w:tc>
          <w:tcPr>
            <w:tcW w:w="1795" w:type="dxa"/>
            <w:tcBorders/>
            <w:vAlign w:val="center"/>
          </w:tcPr>
          <w:p>
            <w:pPr>
              <w:pStyle w:val="Normal"/>
              <w:widowControl/>
              <w:bidi w:val="0"/>
              <w:spacing w:lineRule="auto" w:line="259" w:before="0" w:after="160"/>
              <w:jc w:val="start"/>
              <w:rPr/>
            </w:pPr>
            <w:r>
              <w:rPr/>
              <w:t>Reading / Munich</w:t>
            </w:r>
          </w:p>
        </w:tc>
      </w:tr>
      <w:tr>
        <w:trPr/>
        <w:tc>
          <w:tcPr>
            <w:tcW w:w="1793" w:type="dxa"/>
            <w:tcBorders/>
            <w:vAlign w:val="center"/>
          </w:tcPr>
          <w:p>
            <w:pPr>
              <w:pStyle w:val="Normal"/>
              <w:widowControl/>
              <w:bidi w:val="0"/>
              <w:spacing w:lineRule="auto" w:line="259" w:before="0" w:after="160"/>
              <w:jc w:val="start"/>
              <w:rPr/>
            </w:pPr>
            <w:r>
              <w:rPr/>
              <w:t>09/1998 – 11/1998</w:t>
            </w:r>
          </w:p>
        </w:tc>
        <w:tc>
          <w:tcPr>
            <w:tcW w:w="1898" w:type="dxa"/>
            <w:tcBorders/>
            <w:vAlign w:val="center"/>
          </w:tcPr>
          <w:p>
            <w:pPr>
              <w:pStyle w:val="Normal"/>
              <w:widowControl/>
              <w:bidi w:val="0"/>
              <w:spacing w:lineRule="auto" w:line="259" w:before="0" w:after="160"/>
              <w:jc w:val="start"/>
              <w:rPr/>
            </w:pPr>
            <w:r>
              <w:rPr/>
              <w:t>Unix Administrator</w:t>
            </w:r>
          </w:p>
        </w:tc>
        <w:tc>
          <w:tcPr>
            <w:tcW w:w="2321" w:type="dxa"/>
            <w:tcBorders/>
            <w:vAlign w:val="center"/>
          </w:tcPr>
          <w:p>
            <w:pPr>
              <w:pStyle w:val="Normal"/>
              <w:widowControl/>
              <w:bidi w:val="0"/>
              <w:spacing w:lineRule="auto" w:line="259" w:before="0" w:after="160"/>
              <w:jc w:val="start"/>
              <w:rPr/>
            </w:pPr>
            <w:r>
              <w:rPr/>
              <w:t>CSC for British Aerospace</w:t>
            </w:r>
          </w:p>
        </w:tc>
        <w:tc>
          <w:tcPr>
            <w:tcW w:w="1795" w:type="dxa"/>
            <w:tcBorders/>
            <w:vAlign w:val="center"/>
          </w:tcPr>
          <w:p>
            <w:pPr>
              <w:pStyle w:val="Normal"/>
              <w:widowControl/>
              <w:bidi w:val="0"/>
              <w:spacing w:lineRule="auto" w:line="259" w:before="0" w:after="160"/>
              <w:jc w:val="start"/>
              <w:rPr/>
            </w:pPr>
            <w:r>
              <w:rPr/>
              <w:t>Preston</w:t>
            </w:r>
          </w:p>
        </w:tc>
      </w:tr>
      <w:tr>
        <w:trPr/>
        <w:tc>
          <w:tcPr>
            <w:tcW w:w="1793" w:type="dxa"/>
            <w:tcBorders/>
            <w:vAlign w:val="center"/>
          </w:tcPr>
          <w:p>
            <w:pPr>
              <w:pStyle w:val="Normal"/>
              <w:widowControl/>
              <w:bidi w:val="0"/>
              <w:spacing w:lineRule="auto" w:line="259" w:before="0" w:after="160"/>
              <w:jc w:val="start"/>
              <w:rPr/>
            </w:pPr>
            <w:r>
              <w:rPr/>
              <w:t>01/1997 – 09/1998</w:t>
            </w:r>
          </w:p>
        </w:tc>
        <w:tc>
          <w:tcPr>
            <w:tcW w:w="1898" w:type="dxa"/>
            <w:tcBorders/>
            <w:vAlign w:val="center"/>
          </w:tcPr>
          <w:p>
            <w:pPr>
              <w:pStyle w:val="Normal"/>
              <w:widowControl/>
              <w:bidi w:val="0"/>
              <w:spacing w:lineRule="auto" w:line="259" w:before="0" w:after="160"/>
              <w:jc w:val="start"/>
              <w:rPr/>
            </w:pPr>
            <w:r>
              <w:rPr/>
              <w:t>Unix Administrator</w:t>
            </w:r>
          </w:p>
        </w:tc>
        <w:tc>
          <w:tcPr>
            <w:tcW w:w="2321" w:type="dxa"/>
            <w:tcBorders/>
            <w:vAlign w:val="center"/>
          </w:tcPr>
          <w:p>
            <w:pPr>
              <w:pStyle w:val="Normal"/>
              <w:widowControl/>
              <w:bidi w:val="0"/>
              <w:spacing w:lineRule="auto" w:line="259" w:before="0" w:after="160"/>
              <w:jc w:val="start"/>
              <w:rPr/>
            </w:pPr>
            <w:r>
              <w:rPr/>
              <w:t>EDS for Rolls Royce Aero</w:t>
            </w:r>
          </w:p>
        </w:tc>
        <w:tc>
          <w:tcPr>
            <w:tcW w:w="1795" w:type="dxa"/>
            <w:tcBorders/>
            <w:vAlign w:val="center"/>
          </w:tcPr>
          <w:p>
            <w:pPr>
              <w:pStyle w:val="Normal"/>
              <w:widowControl/>
              <w:bidi w:val="0"/>
              <w:spacing w:lineRule="auto" w:line="259" w:before="0" w:after="160"/>
              <w:jc w:val="start"/>
              <w:rPr/>
            </w:pPr>
            <w:r>
              <w:rPr/>
              <w:t>Derby</w:t>
            </w:r>
          </w:p>
        </w:tc>
      </w:tr>
      <w:tr>
        <w:trPr/>
        <w:tc>
          <w:tcPr>
            <w:tcW w:w="1793" w:type="dxa"/>
            <w:tcBorders/>
            <w:vAlign w:val="center"/>
          </w:tcPr>
          <w:p>
            <w:pPr>
              <w:pStyle w:val="Normal"/>
              <w:widowControl/>
              <w:bidi w:val="0"/>
              <w:spacing w:lineRule="auto" w:line="259" w:before="0" w:after="160"/>
              <w:jc w:val="start"/>
              <w:rPr/>
            </w:pPr>
            <w:r>
              <w:rPr/>
              <w:t>10/1996 – 12/1996</w:t>
            </w:r>
          </w:p>
        </w:tc>
        <w:tc>
          <w:tcPr>
            <w:tcW w:w="1898" w:type="dxa"/>
            <w:tcBorders/>
            <w:vAlign w:val="center"/>
          </w:tcPr>
          <w:p>
            <w:pPr>
              <w:pStyle w:val="Normal"/>
              <w:widowControl/>
              <w:bidi w:val="0"/>
              <w:spacing w:lineRule="auto" w:line="259" w:before="0" w:after="160"/>
              <w:jc w:val="start"/>
              <w:rPr/>
            </w:pPr>
            <w:r>
              <w:rPr/>
              <w:t>Unix Administrator</w:t>
            </w:r>
          </w:p>
        </w:tc>
        <w:tc>
          <w:tcPr>
            <w:tcW w:w="2321" w:type="dxa"/>
            <w:tcBorders/>
            <w:vAlign w:val="center"/>
          </w:tcPr>
          <w:p>
            <w:pPr>
              <w:pStyle w:val="Normal"/>
              <w:widowControl/>
              <w:bidi w:val="0"/>
              <w:spacing w:lineRule="auto" w:line="259" w:before="0" w:after="160"/>
              <w:jc w:val="start"/>
              <w:rPr/>
            </w:pPr>
            <w:r>
              <w:rPr/>
              <w:t>Safa</w:t>
            </w:r>
          </w:p>
        </w:tc>
        <w:tc>
          <w:tcPr>
            <w:tcW w:w="1795" w:type="dxa"/>
            <w:tcBorders/>
            <w:vAlign w:val="center"/>
          </w:tcPr>
          <w:p>
            <w:pPr>
              <w:pStyle w:val="Normal"/>
              <w:widowControl/>
              <w:bidi w:val="0"/>
              <w:spacing w:lineRule="auto" w:line="259" w:before="0" w:after="160"/>
              <w:jc w:val="start"/>
              <w:rPr/>
            </w:pPr>
            <w:r>
              <w:rPr/>
              <w:t>Liverpool</w:t>
            </w:r>
          </w:p>
        </w:tc>
      </w:tr>
      <w:tr>
        <w:trPr/>
        <w:tc>
          <w:tcPr>
            <w:tcW w:w="1793" w:type="dxa"/>
            <w:tcBorders/>
            <w:vAlign w:val="center"/>
          </w:tcPr>
          <w:p>
            <w:pPr>
              <w:pStyle w:val="Normal"/>
              <w:widowControl/>
              <w:bidi w:val="0"/>
              <w:spacing w:lineRule="auto" w:line="259" w:before="0" w:after="160"/>
              <w:jc w:val="start"/>
              <w:rPr/>
            </w:pPr>
            <w:r>
              <w:rPr/>
              <w:t>09/1996 – 10/1996</w:t>
            </w:r>
          </w:p>
        </w:tc>
        <w:tc>
          <w:tcPr>
            <w:tcW w:w="1898" w:type="dxa"/>
            <w:tcBorders/>
            <w:vAlign w:val="center"/>
          </w:tcPr>
          <w:p>
            <w:pPr>
              <w:pStyle w:val="Normal"/>
              <w:widowControl/>
              <w:bidi w:val="0"/>
              <w:spacing w:lineRule="auto" w:line="259" w:before="0" w:after="160"/>
              <w:jc w:val="start"/>
              <w:rPr/>
            </w:pPr>
            <w:r>
              <w:rPr/>
              <w:t>Unix Administrator</w:t>
            </w:r>
          </w:p>
        </w:tc>
        <w:tc>
          <w:tcPr>
            <w:tcW w:w="2321" w:type="dxa"/>
            <w:tcBorders/>
            <w:vAlign w:val="center"/>
          </w:tcPr>
          <w:p>
            <w:pPr>
              <w:pStyle w:val="Normal"/>
              <w:widowControl/>
              <w:bidi w:val="0"/>
              <w:spacing w:lineRule="auto" w:line="259" w:before="0" w:after="160"/>
              <w:jc w:val="start"/>
              <w:rPr/>
            </w:pPr>
            <w:r>
              <w:rPr/>
              <w:t>Communication Arts</w:t>
            </w:r>
          </w:p>
        </w:tc>
        <w:tc>
          <w:tcPr>
            <w:tcW w:w="1795" w:type="dxa"/>
            <w:tcBorders/>
            <w:vAlign w:val="center"/>
          </w:tcPr>
          <w:p>
            <w:pPr>
              <w:pStyle w:val="Normal"/>
              <w:widowControl/>
              <w:bidi w:val="0"/>
              <w:spacing w:lineRule="auto" w:line="259" w:before="0" w:after="160"/>
              <w:jc w:val="start"/>
              <w:rPr/>
            </w:pPr>
            <w:r>
              <w:rPr/>
              <w:t>Egham</w:t>
            </w:r>
          </w:p>
        </w:tc>
      </w:tr>
      <w:tr>
        <w:trPr/>
        <w:tc>
          <w:tcPr>
            <w:tcW w:w="1793" w:type="dxa"/>
            <w:tcBorders/>
            <w:vAlign w:val="center"/>
          </w:tcPr>
          <w:p>
            <w:pPr>
              <w:pStyle w:val="Normal"/>
              <w:widowControl/>
              <w:bidi w:val="0"/>
              <w:spacing w:lineRule="auto" w:line="259" w:before="0" w:after="160"/>
              <w:jc w:val="start"/>
              <w:rPr/>
            </w:pPr>
            <w:r>
              <w:rPr/>
              <w:t>08/1996 – 09/1996</w:t>
            </w:r>
          </w:p>
        </w:tc>
        <w:tc>
          <w:tcPr>
            <w:tcW w:w="1898" w:type="dxa"/>
            <w:tcBorders/>
            <w:vAlign w:val="center"/>
          </w:tcPr>
          <w:p>
            <w:pPr>
              <w:pStyle w:val="Normal"/>
              <w:widowControl/>
              <w:bidi w:val="0"/>
              <w:spacing w:lineRule="auto" w:line="259" w:before="0" w:after="160"/>
              <w:jc w:val="start"/>
              <w:rPr/>
            </w:pPr>
            <w:r>
              <w:rPr/>
              <w:t>Unix Administrator</w:t>
            </w:r>
          </w:p>
        </w:tc>
        <w:tc>
          <w:tcPr>
            <w:tcW w:w="2321" w:type="dxa"/>
            <w:tcBorders/>
            <w:vAlign w:val="center"/>
          </w:tcPr>
          <w:p>
            <w:pPr>
              <w:pStyle w:val="Normal"/>
              <w:widowControl/>
              <w:bidi w:val="0"/>
              <w:spacing w:lineRule="auto" w:line="259" w:before="0" w:after="160"/>
              <w:jc w:val="start"/>
              <w:rPr/>
            </w:pPr>
            <w:r>
              <w:rPr/>
              <w:t>E&amp;P Data Solutions (IBM)</w:t>
            </w:r>
          </w:p>
        </w:tc>
        <w:tc>
          <w:tcPr>
            <w:tcW w:w="1795" w:type="dxa"/>
            <w:tcBorders/>
            <w:vAlign w:val="center"/>
          </w:tcPr>
          <w:p>
            <w:pPr>
              <w:pStyle w:val="Normal"/>
              <w:widowControl/>
              <w:bidi w:val="0"/>
              <w:spacing w:lineRule="auto" w:line="259" w:before="0" w:after="160"/>
              <w:jc w:val="start"/>
              <w:rPr/>
            </w:pPr>
            <w:r>
              <w:rPr/>
              <w:t>Maidenhead</w:t>
            </w:r>
          </w:p>
        </w:tc>
      </w:tr>
      <w:tr>
        <w:trPr/>
        <w:tc>
          <w:tcPr>
            <w:tcW w:w="1793" w:type="dxa"/>
            <w:tcBorders/>
            <w:vAlign w:val="center"/>
          </w:tcPr>
          <w:p>
            <w:pPr>
              <w:pStyle w:val="Normal"/>
              <w:widowControl/>
              <w:bidi w:val="0"/>
              <w:spacing w:lineRule="auto" w:line="259" w:before="0" w:after="160"/>
              <w:jc w:val="start"/>
              <w:rPr/>
            </w:pPr>
            <w:r>
              <w:rPr/>
              <w:t>05/1996 – 08/1996</w:t>
            </w:r>
          </w:p>
        </w:tc>
        <w:tc>
          <w:tcPr>
            <w:tcW w:w="1898" w:type="dxa"/>
            <w:tcBorders/>
            <w:vAlign w:val="center"/>
          </w:tcPr>
          <w:p>
            <w:pPr>
              <w:pStyle w:val="Normal"/>
              <w:widowControl/>
              <w:bidi w:val="0"/>
              <w:spacing w:lineRule="auto" w:line="259" w:before="0" w:after="160"/>
              <w:jc w:val="start"/>
              <w:rPr/>
            </w:pPr>
            <w:r>
              <w:rPr/>
              <w:t>Unix Administrator</w:t>
            </w:r>
          </w:p>
        </w:tc>
        <w:tc>
          <w:tcPr>
            <w:tcW w:w="2321" w:type="dxa"/>
            <w:tcBorders/>
            <w:vAlign w:val="center"/>
          </w:tcPr>
          <w:p>
            <w:pPr>
              <w:pStyle w:val="Normal"/>
              <w:widowControl/>
              <w:bidi w:val="0"/>
              <w:spacing w:lineRule="auto" w:line="259" w:before="0" w:after="160"/>
              <w:jc w:val="start"/>
              <w:rPr/>
            </w:pPr>
            <w:r>
              <w:rPr/>
              <w:t>Jaguar Cars</w:t>
            </w:r>
          </w:p>
        </w:tc>
        <w:tc>
          <w:tcPr>
            <w:tcW w:w="1795" w:type="dxa"/>
            <w:tcBorders/>
            <w:vAlign w:val="center"/>
          </w:tcPr>
          <w:p>
            <w:pPr>
              <w:pStyle w:val="Normal"/>
              <w:widowControl/>
              <w:bidi w:val="0"/>
              <w:spacing w:lineRule="auto" w:line="259" w:before="0" w:after="160"/>
              <w:jc w:val="start"/>
              <w:rPr/>
            </w:pPr>
            <w:r>
              <w:rPr/>
              <w:t>Coventry</w:t>
            </w:r>
          </w:p>
        </w:tc>
      </w:tr>
      <w:tr>
        <w:trPr/>
        <w:tc>
          <w:tcPr>
            <w:tcW w:w="1793" w:type="dxa"/>
            <w:tcBorders/>
            <w:vAlign w:val="center"/>
          </w:tcPr>
          <w:p>
            <w:pPr>
              <w:pStyle w:val="Normal"/>
              <w:widowControl/>
              <w:bidi w:val="0"/>
              <w:spacing w:lineRule="auto" w:line="259" w:before="0" w:after="160"/>
              <w:jc w:val="start"/>
              <w:rPr/>
            </w:pPr>
            <w:r>
              <w:rPr/>
              <w:t>05/1995 – 04/1996</w:t>
            </w:r>
          </w:p>
        </w:tc>
        <w:tc>
          <w:tcPr>
            <w:tcW w:w="1898" w:type="dxa"/>
            <w:tcBorders/>
            <w:vAlign w:val="center"/>
          </w:tcPr>
          <w:p>
            <w:pPr>
              <w:pStyle w:val="Normal"/>
              <w:widowControl/>
              <w:bidi w:val="0"/>
              <w:spacing w:lineRule="auto" w:line="259" w:before="0" w:after="160"/>
              <w:jc w:val="start"/>
              <w:rPr/>
            </w:pPr>
            <w:r>
              <w:rPr/>
              <w:t>Unix Administrator</w:t>
            </w:r>
          </w:p>
        </w:tc>
        <w:tc>
          <w:tcPr>
            <w:tcW w:w="2321" w:type="dxa"/>
            <w:tcBorders/>
            <w:vAlign w:val="center"/>
          </w:tcPr>
          <w:p>
            <w:pPr>
              <w:pStyle w:val="Normal"/>
              <w:widowControl/>
              <w:bidi w:val="0"/>
              <w:spacing w:lineRule="auto" w:line="259" w:before="0" w:after="160"/>
              <w:jc w:val="start"/>
              <w:rPr/>
            </w:pPr>
            <w:r>
              <w:rPr/>
              <w:t>Hero Drinks</w:t>
            </w:r>
          </w:p>
        </w:tc>
        <w:tc>
          <w:tcPr>
            <w:tcW w:w="1795" w:type="dxa"/>
            <w:tcBorders/>
            <w:vAlign w:val="center"/>
          </w:tcPr>
          <w:p>
            <w:pPr>
              <w:pStyle w:val="Normal"/>
              <w:widowControl/>
              <w:bidi w:val="0"/>
              <w:spacing w:lineRule="auto" w:line="259" w:before="0" w:after="160"/>
              <w:jc w:val="start"/>
              <w:rPr/>
            </w:pPr>
            <w:r>
              <w:rPr/>
              <w:t>Kegworth</w:t>
            </w:r>
          </w:p>
        </w:tc>
      </w:tr>
      <w:tr>
        <w:trPr/>
        <w:tc>
          <w:tcPr>
            <w:tcW w:w="1793" w:type="dxa"/>
            <w:tcBorders/>
            <w:vAlign w:val="center"/>
          </w:tcPr>
          <w:p>
            <w:pPr>
              <w:pStyle w:val="Normal"/>
              <w:widowControl/>
              <w:bidi w:val="0"/>
              <w:spacing w:lineRule="auto" w:line="259" w:before="0" w:after="160"/>
              <w:jc w:val="start"/>
              <w:rPr/>
            </w:pPr>
            <w:r>
              <w:rPr/>
              <w:t>01/1995 – 05/1995</w:t>
            </w:r>
          </w:p>
        </w:tc>
        <w:tc>
          <w:tcPr>
            <w:tcW w:w="1898" w:type="dxa"/>
            <w:tcBorders/>
            <w:vAlign w:val="center"/>
          </w:tcPr>
          <w:p>
            <w:pPr>
              <w:pStyle w:val="Normal"/>
              <w:widowControl/>
              <w:bidi w:val="0"/>
              <w:spacing w:lineRule="auto" w:line="259" w:before="0" w:after="160"/>
              <w:jc w:val="start"/>
              <w:rPr/>
            </w:pPr>
            <w:r>
              <w:rPr/>
              <w:t>Analyst Programmer</w:t>
            </w:r>
          </w:p>
        </w:tc>
        <w:tc>
          <w:tcPr>
            <w:tcW w:w="2321" w:type="dxa"/>
            <w:tcBorders/>
            <w:vAlign w:val="center"/>
          </w:tcPr>
          <w:p>
            <w:pPr>
              <w:pStyle w:val="Normal"/>
              <w:widowControl/>
              <w:bidi w:val="0"/>
              <w:spacing w:lineRule="auto" w:line="259" w:before="0" w:after="160"/>
              <w:jc w:val="start"/>
              <w:rPr/>
            </w:pPr>
            <w:r>
              <w:rPr/>
              <w:t>Transax</w:t>
            </w:r>
          </w:p>
        </w:tc>
        <w:tc>
          <w:tcPr>
            <w:tcW w:w="1795" w:type="dxa"/>
            <w:tcBorders/>
            <w:vAlign w:val="center"/>
          </w:tcPr>
          <w:p>
            <w:pPr>
              <w:pStyle w:val="Normal"/>
              <w:widowControl/>
              <w:bidi w:val="0"/>
              <w:spacing w:lineRule="auto" w:line="259" w:before="0" w:after="160"/>
              <w:jc w:val="start"/>
              <w:rPr/>
            </w:pPr>
            <w:r>
              <w:rPr/>
              <w:t>Edgbaston</w:t>
            </w:r>
          </w:p>
        </w:tc>
      </w:tr>
      <w:tr>
        <w:trPr/>
        <w:tc>
          <w:tcPr>
            <w:tcW w:w="1793" w:type="dxa"/>
            <w:tcBorders/>
            <w:vAlign w:val="center"/>
          </w:tcPr>
          <w:p>
            <w:pPr>
              <w:pStyle w:val="Normal"/>
              <w:widowControl/>
              <w:bidi w:val="0"/>
              <w:spacing w:lineRule="auto" w:line="259" w:before="0" w:after="160"/>
              <w:jc w:val="start"/>
              <w:rPr/>
            </w:pPr>
            <w:r>
              <w:rPr/>
              <w:t>09/1992 – 12/1994</w:t>
            </w:r>
          </w:p>
        </w:tc>
        <w:tc>
          <w:tcPr>
            <w:tcW w:w="1898" w:type="dxa"/>
            <w:tcBorders/>
            <w:vAlign w:val="center"/>
          </w:tcPr>
          <w:p>
            <w:pPr>
              <w:pStyle w:val="Normal"/>
              <w:widowControl/>
              <w:bidi w:val="0"/>
              <w:spacing w:lineRule="auto" w:line="259" w:before="0" w:after="160"/>
              <w:jc w:val="start"/>
              <w:rPr/>
            </w:pPr>
            <w:r>
              <w:rPr/>
              <w:t>Analyst Programmer</w:t>
            </w:r>
          </w:p>
        </w:tc>
        <w:tc>
          <w:tcPr>
            <w:tcW w:w="2321" w:type="dxa"/>
            <w:tcBorders/>
            <w:vAlign w:val="center"/>
          </w:tcPr>
          <w:p>
            <w:pPr>
              <w:pStyle w:val="Normal"/>
              <w:widowControl/>
              <w:bidi w:val="0"/>
              <w:spacing w:lineRule="auto" w:line="259" w:before="0" w:after="160"/>
              <w:jc w:val="start"/>
              <w:rPr/>
            </w:pPr>
            <w:r>
              <w:rPr/>
              <w:t>Quintech</w:t>
            </w:r>
          </w:p>
        </w:tc>
        <w:tc>
          <w:tcPr>
            <w:tcW w:w="1795" w:type="dxa"/>
            <w:tcBorders/>
            <w:vAlign w:val="center"/>
          </w:tcPr>
          <w:p>
            <w:pPr>
              <w:pStyle w:val="Normal"/>
              <w:widowControl/>
              <w:bidi w:val="0"/>
              <w:spacing w:lineRule="auto" w:line="259" w:before="0" w:after="160"/>
              <w:jc w:val="start"/>
              <w:rPr/>
            </w:pPr>
            <w:r>
              <w:rPr/>
              <w:t>Sandbach</w:t>
            </w:r>
          </w:p>
        </w:tc>
      </w:tr>
      <w:tr>
        <w:trPr/>
        <w:tc>
          <w:tcPr>
            <w:tcW w:w="1793" w:type="dxa"/>
            <w:tcBorders/>
            <w:vAlign w:val="center"/>
          </w:tcPr>
          <w:p>
            <w:pPr>
              <w:pStyle w:val="Normal"/>
              <w:widowControl/>
              <w:bidi w:val="0"/>
              <w:spacing w:lineRule="auto" w:line="259" w:before="0" w:after="160"/>
              <w:jc w:val="start"/>
              <w:rPr/>
            </w:pPr>
            <w:r>
              <w:rPr/>
              <w:t>05/1990 – 08/1992</w:t>
            </w:r>
          </w:p>
        </w:tc>
        <w:tc>
          <w:tcPr>
            <w:tcW w:w="1898" w:type="dxa"/>
            <w:tcBorders/>
            <w:vAlign w:val="center"/>
          </w:tcPr>
          <w:p>
            <w:pPr>
              <w:pStyle w:val="Normal"/>
              <w:widowControl/>
              <w:bidi w:val="0"/>
              <w:spacing w:lineRule="auto" w:line="259" w:before="0" w:after="160"/>
              <w:jc w:val="start"/>
              <w:rPr/>
            </w:pPr>
            <w:r>
              <w:rPr/>
              <w:t>Analyst Programmer</w:t>
            </w:r>
          </w:p>
        </w:tc>
        <w:tc>
          <w:tcPr>
            <w:tcW w:w="2321" w:type="dxa"/>
            <w:tcBorders/>
            <w:vAlign w:val="center"/>
          </w:tcPr>
          <w:p>
            <w:pPr>
              <w:pStyle w:val="Normal"/>
              <w:widowControl/>
              <w:bidi w:val="0"/>
              <w:spacing w:lineRule="auto" w:line="259" w:before="0" w:after="160"/>
              <w:jc w:val="start"/>
              <w:rPr/>
            </w:pPr>
            <w:r>
              <w:rPr/>
              <w:t>Barcrest</w:t>
            </w:r>
          </w:p>
        </w:tc>
        <w:tc>
          <w:tcPr>
            <w:tcW w:w="1795" w:type="dxa"/>
            <w:tcBorders/>
            <w:vAlign w:val="center"/>
          </w:tcPr>
          <w:p>
            <w:pPr>
              <w:pStyle w:val="Normal"/>
              <w:widowControl/>
              <w:bidi w:val="0"/>
              <w:spacing w:lineRule="auto" w:line="259" w:before="0" w:after="160"/>
              <w:jc w:val="start"/>
              <w:rPr/>
            </w:pPr>
            <w:r>
              <w:rPr/>
              <w:t>Ashton-under-Lyne</w:t>
            </w:r>
          </w:p>
        </w:tc>
      </w:tr>
      <w:tr>
        <w:trPr/>
        <w:tc>
          <w:tcPr>
            <w:tcW w:w="1793" w:type="dxa"/>
            <w:tcBorders/>
            <w:vAlign w:val="center"/>
          </w:tcPr>
          <w:p>
            <w:pPr>
              <w:pStyle w:val="Normal"/>
              <w:widowControl/>
              <w:bidi w:val="0"/>
              <w:spacing w:lineRule="auto" w:line="259" w:before="0" w:after="160"/>
              <w:jc w:val="start"/>
              <w:rPr/>
            </w:pPr>
            <w:r>
              <w:rPr/>
              <w:t>08/1989 – 04/1990</w:t>
            </w:r>
          </w:p>
        </w:tc>
        <w:tc>
          <w:tcPr>
            <w:tcW w:w="1898" w:type="dxa"/>
            <w:tcBorders/>
            <w:vAlign w:val="center"/>
          </w:tcPr>
          <w:p>
            <w:pPr>
              <w:pStyle w:val="Normal"/>
              <w:widowControl/>
              <w:bidi w:val="0"/>
              <w:spacing w:lineRule="auto" w:line="259" w:before="0" w:after="160"/>
              <w:jc w:val="start"/>
              <w:rPr/>
            </w:pPr>
            <w:r>
              <w:rPr/>
              <w:t>Analyst Programmer</w:t>
            </w:r>
          </w:p>
        </w:tc>
        <w:tc>
          <w:tcPr>
            <w:tcW w:w="2321" w:type="dxa"/>
            <w:tcBorders/>
            <w:vAlign w:val="center"/>
          </w:tcPr>
          <w:p>
            <w:pPr>
              <w:pStyle w:val="Normal"/>
              <w:widowControl/>
              <w:bidi w:val="0"/>
              <w:spacing w:lineRule="auto" w:line="259" w:before="0" w:after="160"/>
              <w:jc w:val="start"/>
              <w:rPr/>
            </w:pPr>
            <w:r>
              <w:rPr/>
              <w:t>Symphony Kitchens</w:t>
            </w:r>
          </w:p>
        </w:tc>
        <w:tc>
          <w:tcPr>
            <w:tcW w:w="1795" w:type="dxa"/>
            <w:tcBorders/>
            <w:vAlign w:val="center"/>
          </w:tcPr>
          <w:p>
            <w:pPr>
              <w:pStyle w:val="Normal"/>
              <w:widowControl/>
              <w:bidi w:val="0"/>
              <w:spacing w:lineRule="auto" w:line="259" w:before="0" w:after="160"/>
              <w:jc w:val="start"/>
              <w:rPr/>
            </w:pPr>
            <w:r>
              <w:rPr/>
              <w:t>Leeds</w:t>
            </w:r>
          </w:p>
        </w:tc>
      </w:tr>
      <w:tr>
        <w:trPr/>
        <w:tc>
          <w:tcPr>
            <w:tcW w:w="1793" w:type="dxa"/>
            <w:tcBorders/>
            <w:vAlign w:val="center"/>
          </w:tcPr>
          <w:p>
            <w:pPr>
              <w:pStyle w:val="Normal"/>
              <w:widowControl/>
              <w:bidi w:val="0"/>
              <w:spacing w:lineRule="auto" w:line="259" w:before="0" w:after="160"/>
              <w:jc w:val="start"/>
              <w:rPr/>
            </w:pPr>
            <w:r>
              <w:rPr/>
              <w:t>10/1988 – 07/1989</w:t>
            </w:r>
          </w:p>
        </w:tc>
        <w:tc>
          <w:tcPr>
            <w:tcW w:w="1898" w:type="dxa"/>
            <w:tcBorders/>
            <w:vAlign w:val="center"/>
          </w:tcPr>
          <w:p>
            <w:pPr>
              <w:pStyle w:val="Normal"/>
              <w:widowControl/>
              <w:bidi w:val="0"/>
              <w:spacing w:lineRule="auto" w:line="259" w:before="0" w:after="160"/>
              <w:jc w:val="start"/>
              <w:rPr/>
            </w:pPr>
            <w:r>
              <w:rPr/>
              <w:t>Analyst Programmer</w:t>
            </w:r>
          </w:p>
        </w:tc>
        <w:tc>
          <w:tcPr>
            <w:tcW w:w="2321" w:type="dxa"/>
            <w:tcBorders/>
            <w:vAlign w:val="center"/>
          </w:tcPr>
          <w:p>
            <w:pPr>
              <w:pStyle w:val="Normal"/>
              <w:widowControl/>
              <w:bidi w:val="0"/>
              <w:spacing w:lineRule="auto" w:line="259" w:before="0" w:after="160"/>
              <w:jc w:val="start"/>
              <w:rPr/>
            </w:pPr>
            <w:r>
              <w:rPr/>
              <w:t>GEC Sensors</w:t>
            </w:r>
          </w:p>
        </w:tc>
        <w:tc>
          <w:tcPr>
            <w:tcW w:w="1795" w:type="dxa"/>
            <w:tcBorders/>
            <w:vAlign w:val="center"/>
          </w:tcPr>
          <w:p>
            <w:pPr>
              <w:pStyle w:val="Normal"/>
              <w:widowControl/>
              <w:bidi w:val="0"/>
              <w:spacing w:lineRule="auto" w:line="259" w:before="0" w:after="160"/>
              <w:jc w:val="start"/>
              <w:rPr/>
            </w:pPr>
            <w:r>
              <w:rPr/>
              <w:t>Basildon</w:t>
            </w:r>
          </w:p>
        </w:tc>
      </w:tr>
    </w:tbl>
    <w:p>
      <w:pPr>
        <w:pStyle w:val="Normal"/>
        <w:widowControl/>
        <w:bidi w:val="0"/>
        <w:spacing w:lineRule="auto" w:line="259" w:before="0" w:after="160"/>
        <w:jc w:val="start"/>
        <w:rPr/>
      </w:pPr>
      <w:r>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family w:val="roman"/>
    <w:pitch w:val="default"/>
  </w:font>
  <w:font w:name="Calibri Light">
    <w:charset w:val="01"/>
    <w:family w:val="roman"/>
    <w:pitch w:val="default"/>
  </w:font>
  <w:font w:name="Liberation Sans">
    <w:altName w:val="Arial"/>
    <w:charset w:val="01"/>
    <w:family w:val="swiss"/>
    <w:pitch w:val="default"/>
  </w:font>
  <w:font w:name="Symbol">
    <w:charset w:val="01"/>
    <w:family w:val="auto"/>
    <w:pitch w:val="variable"/>
  </w:font>
  <w:font w:name="Courier New">
    <w:charset w:val="01"/>
    <w:family w:val="modern"/>
    <w:pitch w:val="fixed"/>
  </w:font>
  <w:font w:name="Wingding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1080" w:hanging="360"/>
      </w:pPr>
      <w:rPr>
        <w:rFonts w:ascii="Symbol" w:hAnsi="Symbol" w:cs="Symbol"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2">
    <w:lvl w:ilvl="0">
      <w:start w:val="1"/>
      <w:numFmt w:val="bullet"/>
      <w:lvlText w:val=""/>
      <w:lvlJc w:val="start"/>
      <w:pPr>
        <w:tabs>
          <w:tab w:val="num" w:pos="0"/>
        </w:tabs>
        <w:ind w:start="1080" w:hanging="360"/>
      </w:pPr>
      <w:rPr>
        <w:rFonts w:ascii="Symbol" w:hAnsi="Symbol" w:cs="Symbol"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3">
    <w:lvl w:ilvl="0">
      <w:start w:val="1"/>
      <w:numFmt w:val="bullet"/>
      <w:lvlText w:val=""/>
      <w:lvlJc w:val="start"/>
      <w:pPr>
        <w:tabs>
          <w:tab w:val="num" w:pos="0"/>
        </w:tabs>
        <w:ind w:start="1080" w:hanging="360"/>
      </w:pPr>
      <w:rPr>
        <w:rFonts w:ascii="Symbol" w:hAnsi="Symbol" w:cs="Symbol"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4">
    <w:lvl w:ilvl="0">
      <w:start w:val="1"/>
      <w:numFmt w:val="bullet"/>
      <w:lvlText w:val=""/>
      <w:lvlJc w:val="start"/>
      <w:pPr>
        <w:tabs>
          <w:tab w:val="num" w:pos="0"/>
        </w:tabs>
        <w:ind w:start="1080" w:hanging="360"/>
      </w:pPr>
      <w:rPr>
        <w:rFonts w:ascii="Symbol" w:hAnsi="Symbol" w:cs="Symbol"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5">
    <w:lvl w:ilvl="0">
      <w:start w:val="1"/>
      <w:numFmt w:val="bullet"/>
      <w:lvlText w:val=""/>
      <w:lvlJc w:val="start"/>
      <w:pPr>
        <w:tabs>
          <w:tab w:val="num" w:pos="0"/>
        </w:tabs>
        <w:ind w:start="1080" w:hanging="360"/>
      </w:pPr>
      <w:rPr>
        <w:rFonts w:ascii="Symbol" w:hAnsi="Symbol" w:cs="Symbol"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6">
    <w:lvl w:ilvl="0">
      <w:start w:val="1"/>
      <w:numFmt w:val="bullet"/>
      <w:lvlText w:val=""/>
      <w:lvlJc w:val="start"/>
      <w:pPr>
        <w:tabs>
          <w:tab w:val="num" w:pos="0"/>
        </w:tabs>
        <w:ind w:start="1080" w:hanging="360"/>
      </w:pPr>
      <w:rPr>
        <w:rFonts w:ascii="Symbol" w:hAnsi="Symbol" w:cs="Symbol"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7">
    <w:lvl w:ilvl="0">
      <w:start w:val="1"/>
      <w:numFmt w:val="bullet"/>
      <w:lvlText w:val=""/>
      <w:lvlJc w:val="start"/>
      <w:pPr>
        <w:tabs>
          <w:tab w:val="num" w:pos="0"/>
        </w:tabs>
        <w:ind w:start="1080" w:hanging="360"/>
      </w:pPr>
      <w:rPr>
        <w:rFonts w:ascii="Symbol" w:hAnsi="Symbol" w:cs="Symbol"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8">
    <w:lvl w:ilvl="0">
      <w:start w:val="1"/>
      <w:numFmt w:val="bullet"/>
      <w:lvlText w:val=""/>
      <w:lvlJc w:val="start"/>
      <w:pPr>
        <w:tabs>
          <w:tab w:val="num" w:pos="0"/>
        </w:tabs>
        <w:ind w:start="1080" w:hanging="360"/>
      </w:pPr>
      <w:rPr>
        <w:rFonts w:ascii="Symbol" w:hAnsi="Symbol" w:cs="Symbol"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9">
    <w:lvl w:ilvl="0">
      <w:start w:val="1"/>
      <w:numFmt w:val="bullet"/>
      <w:lvlText w:val=""/>
      <w:lvlJc w:val="start"/>
      <w:pPr>
        <w:tabs>
          <w:tab w:val="num" w:pos="0"/>
        </w:tabs>
        <w:ind w:start="1080" w:hanging="360"/>
      </w:pPr>
      <w:rPr>
        <w:rFonts w:ascii="Symbol" w:hAnsi="Symbol" w:cs="Symbol"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10">
    <w:lvl w:ilvl="0">
      <w:start w:val="1"/>
      <w:numFmt w:val="bullet"/>
      <w:lvlText w:val=""/>
      <w:lvlJc w:val="start"/>
      <w:pPr>
        <w:tabs>
          <w:tab w:val="num" w:pos="0"/>
        </w:tabs>
        <w:ind w:start="1080" w:hanging="360"/>
      </w:pPr>
      <w:rPr>
        <w:rFonts w:ascii="Symbol" w:hAnsi="Symbol" w:cs="Symbol"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11">
    <w:lvl w:ilvl="0">
      <w:start w:val="1"/>
      <w:numFmt w:val="bullet"/>
      <w:lvlText w:val=""/>
      <w:lvlJc w:val="start"/>
      <w:pPr>
        <w:tabs>
          <w:tab w:val="num" w:pos="0"/>
        </w:tabs>
        <w:ind w:start="1080" w:hanging="360"/>
      </w:pPr>
      <w:rPr>
        <w:rFonts w:ascii="Symbol" w:hAnsi="Symbol" w:cs="Symbol"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12">
    <w:lvl w:ilvl="0">
      <w:start w:val="1"/>
      <w:numFmt w:val="bullet"/>
      <w:lvlText w:val=""/>
      <w:lvlJc w:val="start"/>
      <w:pPr>
        <w:tabs>
          <w:tab w:val="num" w:pos="0"/>
        </w:tabs>
        <w:ind w:start="1080" w:hanging="360"/>
      </w:pPr>
      <w:rPr>
        <w:rFonts w:ascii="Symbol" w:hAnsi="Symbol" w:cs="Symbol"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13">
    <w:lvl w:ilvl="0">
      <w:start w:val="1"/>
      <w:numFmt w:val="bullet"/>
      <w:lvlText w:val=""/>
      <w:lvlJc w:val="start"/>
      <w:pPr>
        <w:tabs>
          <w:tab w:val="num" w:pos="0"/>
        </w:tabs>
        <w:ind w:start="1080" w:hanging="360"/>
      </w:pPr>
      <w:rPr>
        <w:rFonts w:ascii="Symbol" w:hAnsi="Symbol" w:cs="Symbol"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14">
    <w:lvl w:ilvl="0">
      <w:start w:val="1"/>
      <w:numFmt w:val="bullet"/>
      <w:lvlText w:val=""/>
      <w:lvlJc w:val="start"/>
      <w:pPr>
        <w:tabs>
          <w:tab w:val="num" w:pos="0"/>
        </w:tabs>
        <w:ind w:start="1080" w:hanging="360"/>
      </w:pPr>
      <w:rPr>
        <w:rFonts w:ascii="Symbol" w:hAnsi="Symbol" w:cs="Symbol"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1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GB" w:eastAsia="en-US" w:bidi="ar-SA"/>
    </w:rPr>
  </w:style>
  <w:style w:type="paragraph" w:styleId="Heading1">
    <w:name w:val="heading 1"/>
    <w:basedOn w:val="Normal"/>
    <w:next w:val="Normal"/>
    <w:link w:val="Heading1Char"/>
    <w:uiPriority w:val="9"/>
    <w:qFormat/>
    <w:rsid w:val="000c5384"/>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Heading2Char"/>
    <w:uiPriority w:val="9"/>
    <w:semiHidden/>
    <w:unhideWhenUsed/>
    <w:qFormat/>
    <w:rsid w:val="000c5384"/>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Heading3Char"/>
    <w:uiPriority w:val="9"/>
    <w:semiHidden/>
    <w:unhideWhenUsed/>
    <w:qFormat/>
    <w:rsid w:val="000c5384"/>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Heading4Char"/>
    <w:uiPriority w:val="9"/>
    <w:semiHidden/>
    <w:unhideWhenUsed/>
    <w:qFormat/>
    <w:rsid w:val="000c5384"/>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Heading5Char"/>
    <w:uiPriority w:val="9"/>
    <w:semiHidden/>
    <w:unhideWhenUsed/>
    <w:qFormat/>
    <w:rsid w:val="000c5384"/>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Heading6Char"/>
    <w:uiPriority w:val="9"/>
    <w:semiHidden/>
    <w:unhideWhenUsed/>
    <w:qFormat/>
    <w:rsid w:val="000c5384"/>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0c5384"/>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0c5384"/>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0c5384"/>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unhideWhenUsed/>
    <w:qFormat/>
    <w:rPr/>
  </w:style>
  <w:style w:type="character" w:styleId="Heading1Char" w:customStyle="1">
    <w:name w:val="Heading 1 Char"/>
    <w:basedOn w:val="DefaultParagraphFont"/>
    <w:link w:val="Heading1"/>
    <w:uiPriority w:val="9"/>
    <w:qFormat/>
    <w:rsid w:val="000c5384"/>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semiHidden/>
    <w:qFormat/>
    <w:rsid w:val="000c5384"/>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semiHidden/>
    <w:qFormat/>
    <w:rsid w:val="000c5384"/>
    <w:rPr>
      <w:rFonts w:eastAsia="" w:cs="" w:cstheme="majorBidi" w:eastAsiaTheme="majorEastAsia"/>
      <w:color w:themeColor="accent1" w:themeShade="bf" w:val="2F5496"/>
      <w:sz w:val="28"/>
      <w:szCs w:val="28"/>
    </w:rPr>
  </w:style>
  <w:style w:type="character" w:styleId="Heading4Char" w:customStyle="1">
    <w:name w:val="Heading 4 Char"/>
    <w:basedOn w:val="DefaultParagraphFont"/>
    <w:link w:val="Heading4"/>
    <w:uiPriority w:val="9"/>
    <w:semiHidden/>
    <w:qFormat/>
    <w:rsid w:val="000c5384"/>
    <w:rPr>
      <w:rFonts w:eastAsia="" w:cs="" w:cstheme="majorBidi" w:eastAsiaTheme="majorEastAsia"/>
      <w:i/>
      <w:iCs/>
      <w:color w:themeColor="accent1" w:themeShade="bf" w:val="2F5496"/>
    </w:rPr>
  </w:style>
  <w:style w:type="character" w:styleId="Heading5Char" w:customStyle="1">
    <w:name w:val="Heading 5 Char"/>
    <w:basedOn w:val="DefaultParagraphFont"/>
    <w:link w:val="Heading5"/>
    <w:uiPriority w:val="9"/>
    <w:semiHidden/>
    <w:qFormat/>
    <w:rsid w:val="000c5384"/>
    <w:rPr>
      <w:rFonts w:eastAsia="" w:cs="" w:cstheme="majorBidi" w:eastAsiaTheme="majorEastAsia"/>
      <w:color w:themeColor="accent1" w:themeShade="bf" w:val="2F5496"/>
    </w:rPr>
  </w:style>
  <w:style w:type="character" w:styleId="Heading6Char" w:customStyle="1">
    <w:name w:val="Heading 6 Char"/>
    <w:basedOn w:val="DefaultParagraphFont"/>
    <w:link w:val="Heading6"/>
    <w:uiPriority w:val="9"/>
    <w:semiHidden/>
    <w:qFormat/>
    <w:rsid w:val="000c5384"/>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0c5384"/>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0c5384"/>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0c5384"/>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0c5384"/>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0c5384"/>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0c5384"/>
    <w:rPr>
      <w:i/>
      <w:iCs/>
      <w:color w:themeColor="text1" w:themeTint="bf" w:val="404040"/>
    </w:rPr>
  </w:style>
  <w:style w:type="character" w:styleId="IntenseEmphasis">
    <w:name w:val="Intense Emphasis"/>
    <w:basedOn w:val="DefaultParagraphFont"/>
    <w:uiPriority w:val="21"/>
    <w:qFormat/>
    <w:rsid w:val="000c5384"/>
    <w:rPr>
      <w:i/>
      <w:iCs/>
      <w:color w:themeColor="accent1" w:themeShade="bf" w:val="2F5496"/>
    </w:rPr>
  </w:style>
  <w:style w:type="character" w:styleId="IntenseQuoteChar" w:customStyle="1">
    <w:name w:val="Intense Quote Char"/>
    <w:basedOn w:val="DefaultParagraphFont"/>
    <w:link w:val="IntenseQuote"/>
    <w:uiPriority w:val="30"/>
    <w:qFormat/>
    <w:rsid w:val="000c5384"/>
    <w:rPr>
      <w:i/>
      <w:iCs/>
      <w:color w:themeColor="accent1" w:themeShade="bf" w:val="2F5496"/>
    </w:rPr>
  </w:style>
  <w:style w:type="character" w:styleId="IntenseReference">
    <w:name w:val="Intense Reference"/>
    <w:basedOn w:val="DefaultParagraphFont"/>
    <w:uiPriority w:val="32"/>
    <w:qFormat/>
    <w:rsid w:val="000c5384"/>
    <w:rPr>
      <w:b/>
      <w:bCs/>
      <w:smallCaps/>
      <w:color w:themeColor="accent1" w:themeShade="bf" w:val="2F5496"/>
      <w:spacing w:val="5"/>
    </w:rPr>
  </w:style>
  <w:style w:type="character" w:styleId="Hyperlink">
    <w:name w:val="Hyperlink"/>
    <w:basedOn w:val="DefaultParagraphFont"/>
    <w:uiPriority w:val="99"/>
    <w:unhideWhenUsed/>
    <w:rsid w:val="000c5384"/>
    <w:rPr>
      <w:color w:themeColor="hyperlink" w:val="0563C1"/>
      <w:u w:val="single"/>
    </w:rPr>
  </w:style>
  <w:style w:type="character" w:styleId="UnresolvedMention">
    <w:name w:val="Unresolved Mention"/>
    <w:basedOn w:val="DefaultParagraphFont"/>
    <w:uiPriority w:val="99"/>
    <w:semiHidden/>
    <w:unhideWhenUsed/>
    <w:qFormat/>
    <w:rsid w:val="000c5384"/>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Arial Unicode MS"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0c5384"/>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0c5384"/>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0c5384"/>
    <w:pPr>
      <w:spacing w:before="160" w:after="160"/>
      <w:jc w:val="center"/>
    </w:pPr>
    <w:rPr>
      <w:i/>
      <w:iCs/>
      <w:color w:themeColor="text1" w:themeTint="bf" w:val="404040"/>
    </w:rPr>
  </w:style>
  <w:style w:type="paragraph" w:styleId="ListParagraph">
    <w:name w:val="List Paragraph"/>
    <w:basedOn w:val="Normal"/>
    <w:uiPriority w:val="34"/>
    <w:qFormat/>
    <w:rsid w:val="000c5384"/>
    <w:pPr>
      <w:spacing w:before="0" w:after="160"/>
      <w:ind w:start="720"/>
      <w:contextualSpacing/>
    </w:pPr>
    <w:rPr/>
  </w:style>
  <w:style w:type="paragraph" w:styleId="IntenseQuote">
    <w:name w:val="Intense Quote"/>
    <w:basedOn w:val="Normal"/>
    <w:next w:val="Normal"/>
    <w:link w:val="IntenseQuoteChar"/>
    <w:uiPriority w:val="30"/>
    <w:qFormat/>
    <w:rsid w:val="000c5384"/>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linkedin.com/in/rowland-bainbridge-mbcs-9022905"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235</TotalTime>
  <Application>LibreOffice/26.2.1.2$MacOSX_AARCH64 LibreOffice_project/8399f6259d8c87f40e7255cdb3c9b958f5e08948</Application>
  <AppVersion>15.0000</AppVersion>
  <Pages>8</Pages>
  <Words>1515</Words>
  <Characters>9860</Characters>
  <CharactersWithSpaces>11117</CharactersWithSpaces>
  <Paragraphs>328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2026-05-12T15:28:00Z</dcterms:created>
  <dc:creator>Anthony  Speed</dc:creator>
  <dc:description/>
  <dc:language>en-GB</dc:language>
  <cp:lastModifiedBy/>
  <dcterms:modified xsi:type="dcterms:W3CDTF">2026-11-01T16:17:41Z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